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A55" w:rsidRPr="000A1CCC" w:rsidRDefault="000A1CCC" w:rsidP="000A1CCC">
      <w:pPr>
        <w:spacing w:before="120" w:after="0"/>
        <w:rPr>
          <w:rFonts w:ascii="Times New Roman" w:hAnsi="Times New Roman" w:cs="Times New Roman"/>
          <w:sz w:val="32"/>
          <w:szCs w:val="32"/>
        </w:rPr>
      </w:pPr>
      <w:r w:rsidRPr="000A1CCC">
        <w:rPr>
          <w:rFonts w:ascii="Times New Roman" w:hAnsi="Times New Roman" w:cs="Times New Roman"/>
          <w:b/>
          <w:sz w:val="32"/>
          <w:szCs w:val="32"/>
        </w:rPr>
        <w:t>Rechtsbeugu</w:t>
      </w:r>
      <w:bookmarkStart w:id="0" w:name="_GoBack"/>
      <w:bookmarkEnd w:id="0"/>
      <w:r w:rsidRPr="000A1CCC">
        <w:rPr>
          <w:rFonts w:ascii="Times New Roman" w:hAnsi="Times New Roman" w:cs="Times New Roman"/>
          <w:b/>
          <w:sz w:val="32"/>
          <w:szCs w:val="32"/>
        </w:rPr>
        <w:t>ng und Strafvereitelung im Amt</w:t>
      </w:r>
      <w:r w:rsidRPr="000A1CCC">
        <w:rPr>
          <w:rFonts w:ascii="Times New Roman" w:hAnsi="Times New Roman" w:cs="Times New Roman"/>
          <w:sz w:val="32"/>
          <w:szCs w:val="32"/>
        </w:rPr>
        <w:t xml:space="preserve">, Anmerkung </w:t>
      </w:r>
      <w:r w:rsidR="002A41A9" w:rsidRPr="000A1CCC">
        <w:rPr>
          <w:rFonts w:ascii="Times New Roman" w:hAnsi="Times New Roman" w:cs="Times New Roman"/>
          <w:sz w:val="32"/>
          <w:szCs w:val="32"/>
        </w:rPr>
        <w:t xml:space="preserve">zum Einstellungsbescheid der Staatsanwaltschaft Osnabrück vom 15.01.2013 (NZS 123 </w:t>
      </w:r>
      <w:proofErr w:type="spellStart"/>
      <w:r w:rsidR="002A41A9" w:rsidRPr="000A1CCC">
        <w:rPr>
          <w:rFonts w:ascii="Times New Roman" w:hAnsi="Times New Roman" w:cs="Times New Roman"/>
          <w:sz w:val="32"/>
          <w:szCs w:val="32"/>
        </w:rPr>
        <w:t>Js</w:t>
      </w:r>
      <w:proofErr w:type="spellEnd"/>
      <w:r w:rsidR="002A41A9" w:rsidRPr="000A1CCC">
        <w:rPr>
          <w:rFonts w:ascii="Times New Roman" w:hAnsi="Times New Roman" w:cs="Times New Roman"/>
          <w:sz w:val="32"/>
          <w:szCs w:val="32"/>
        </w:rPr>
        <w:t xml:space="preserve"> 9102/12)</w:t>
      </w:r>
    </w:p>
    <w:p w:rsidR="000A1CCC" w:rsidRPr="00C031EA" w:rsidRDefault="000A1CCC" w:rsidP="000A1CCC">
      <w:pPr>
        <w:spacing w:before="240" w:after="0" w:line="360" w:lineRule="auto"/>
        <w:jc w:val="center"/>
        <w:rPr>
          <w:rFonts w:ascii="Times New Roman" w:hAnsi="Times New Roman" w:cs="Times New Roman"/>
          <w:i/>
          <w:sz w:val="24"/>
          <w:szCs w:val="24"/>
        </w:rPr>
      </w:pPr>
      <w:r w:rsidRPr="00C031EA">
        <w:rPr>
          <w:rFonts w:ascii="Times New Roman" w:hAnsi="Times New Roman" w:cs="Times New Roman"/>
          <w:i/>
          <w:sz w:val="24"/>
          <w:szCs w:val="24"/>
          <w:highlight w:val="lightGray"/>
        </w:rPr>
        <w:t xml:space="preserve">Veröffentlicht </w:t>
      </w:r>
      <w:r>
        <w:rPr>
          <w:rFonts w:ascii="Times New Roman" w:hAnsi="Times New Roman" w:cs="Times New Roman"/>
          <w:i/>
          <w:sz w:val="24"/>
          <w:szCs w:val="24"/>
          <w:highlight w:val="lightGray"/>
        </w:rPr>
        <w:t>von</w:t>
      </w:r>
      <w:r w:rsidRPr="000A1CCC">
        <w:rPr>
          <w:rFonts w:ascii="Times New Roman" w:hAnsi="Times New Roman" w:cs="Times New Roman"/>
          <w:i/>
          <w:sz w:val="24"/>
          <w:szCs w:val="24"/>
          <w:highlight w:val="lightGray"/>
        </w:rPr>
        <w:t xml:space="preserve"> </w:t>
      </w:r>
      <w:r w:rsidRPr="000A1CCC">
        <w:rPr>
          <w:rFonts w:ascii="Times New Roman" w:hAnsi="Times New Roman" w:cs="Times New Roman"/>
          <w:i/>
          <w:sz w:val="24"/>
          <w:szCs w:val="24"/>
          <w:highlight w:val="lightGray"/>
        </w:rPr>
        <w:t>Dr. Claudia Keiser</w:t>
      </w:r>
      <w:r w:rsidRPr="000A1CCC">
        <w:rPr>
          <w:rFonts w:ascii="Times New Roman" w:hAnsi="Times New Roman" w:cs="Times New Roman"/>
          <w:i/>
          <w:sz w:val="24"/>
          <w:szCs w:val="24"/>
          <w:highlight w:val="lightGray"/>
        </w:rPr>
        <w:t xml:space="preserve"> </w:t>
      </w:r>
      <w:r w:rsidRPr="00C031EA">
        <w:rPr>
          <w:rFonts w:ascii="Times New Roman" w:hAnsi="Times New Roman" w:cs="Times New Roman"/>
          <w:i/>
          <w:sz w:val="24"/>
          <w:szCs w:val="24"/>
          <w:highlight w:val="lightGray"/>
        </w:rPr>
        <w:t xml:space="preserve">in: </w:t>
      </w:r>
      <w:proofErr w:type="spellStart"/>
      <w:r w:rsidRPr="00C031EA">
        <w:rPr>
          <w:rFonts w:ascii="Times New Roman" w:hAnsi="Times New Roman" w:cs="Times New Roman"/>
          <w:i/>
          <w:sz w:val="24"/>
          <w:szCs w:val="24"/>
          <w:highlight w:val="lightGray"/>
        </w:rPr>
        <w:t>StraFo</w:t>
      </w:r>
      <w:proofErr w:type="spellEnd"/>
      <w:r w:rsidRPr="00C031EA">
        <w:rPr>
          <w:rFonts w:ascii="Times New Roman" w:hAnsi="Times New Roman" w:cs="Times New Roman"/>
          <w:i/>
          <w:sz w:val="24"/>
          <w:szCs w:val="24"/>
          <w:highlight w:val="lightGray"/>
        </w:rPr>
        <w:t xml:space="preserve"> 2013, 43</w:t>
      </w:r>
      <w:r>
        <w:rPr>
          <w:rFonts w:ascii="Times New Roman" w:hAnsi="Times New Roman" w:cs="Times New Roman"/>
          <w:i/>
          <w:sz w:val="24"/>
          <w:szCs w:val="24"/>
          <w:highlight w:val="lightGray"/>
        </w:rPr>
        <w:t>6-439</w:t>
      </w:r>
    </w:p>
    <w:p w:rsidR="003B7839" w:rsidRDefault="009B427C" w:rsidP="003B7839">
      <w:pPr>
        <w:spacing w:before="240" w:after="0" w:line="360" w:lineRule="auto"/>
        <w:jc w:val="both"/>
        <w:rPr>
          <w:rFonts w:ascii="Times New Roman" w:hAnsi="Times New Roman" w:cs="Times New Roman"/>
          <w:sz w:val="24"/>
          <w:szCs w:val="24"/>
        </w:rPr>
      </w:pPr>
      <w:r w:rsidRPr="00C031EA">
        <w:rPr>
          <w:rFonts w:ascii="Times New Roman" w:hAnsi="Times New Roman" w:cs="Times New Roman"/>
          <w:sz w:val="24"/>
          <w:szCs w:val="24"/>
        </w:rPr>
        <w:t xml:space="preserve">Die Überlegung des Oberstaatsanwalts, </w:t>
      </w:r>
      <w:r w:rsidR="00D933D3" w:rsidRPr="00C031EA">
        <w:rPr>
          <w:rFonts w:ascii="Times New Roman" w:hAnsi="Times New Roman" w:cs="Times New Roman"/>
          <w:sz w:val="24"/>
          <w:szCs w:val="24"/>
        </w:rPr>
        <w:t xml:space="preserve">die </w:t>
      </w:r>
      <w:r w:rsidR="00D83AEC" w:rsidRPr="00C031EA">
        <w:rPr>
          <w:rFonts w:ascii="Times New Roman" w:hAnsi="Times New Roman" w:cs="Times New Roman"/>
          <w:sz w:val="24"/>
          <w:szCs w:val="24"/>
        </w:rPr>
        <w:t xml:space="preserve">Allgemeinheit </w:t>
      </w:r>
      <w:r w:rsidR="00D933D3" w:rsidRPr="00C031EA">
        <w:rPr>
          <w:rFonts w:ascii="Times New Roman" w:hAnsi="Times New Roman" w:cs="Times New Roman"/>
          <w:sz w:val="24"/>
          <w:szCs w:val="24"/>
        </w:rPr>
        <w:t>ausgerechnet durch</w:t>
      </w:r>
      <w:r w:rsidR="00D83AEC" w:rsidRPr="00C031EA">
        <w:rPr>
          <w:rFonts w:ascii="Times New Roman" w:hAnsi="Times New Roman" w:cs="Times New Roman"/>
          <w:sz w:val="24"/>
          <w:szCs w:val="24"/>
        </w:rPr>
        <w:t xml:space="preserve"> </w:t>
      </w:r>
      <w:r w:rsidR="00E647FB" w:rsidRPr="00C031EA">
        <w:rPr>
          <w:rFonts w:ascii="Times New Roman" w:hAnsi="Times New Roman" w:cs="Times New Roman"/>
          <w:sz w:val="24"/>
          <w:szCs w:val="24"/>
        </w:rPr>
        <w:t>eine</w:t>
      </w:r>
      <w:r w:rsidR="00D933D3" w:rsidRPr="00C031EA">
        <w:rPr>
          <w:rFonts w:ascii="Times New Roman" w:hAnsi="Times New Roman" w:cs="Times New Roman"/>
          <w:sz w:val="24"/>
          <w:szCs w:val="24"/>
        </w:rPr>
        <w:t xml:space="preserve"> </w:t>
      </w:r>
      <w:r w:rsidR="00D83AEC" w:rsidRPr="00C031EA">
        <w:rPr>
          <w:rFonts w:ascii="Times New Roman" w:hAnsi="Times New Roman" w:cs="Times New Roman"/>
          <w:i/>
          <w:sz w:val="24"/>
          <w:szCs w:val="24"/>
        </w:rPr>
        <w:t>„etwas zu milde“</w:t>
      </w:r>
      <w:r w:rsidR="00D83AEC" w:rsidRPr="00C031EA">
        <w:rPr>
          <w:rFonts w:ascii="Times New Roman" w:hAnsi="Times New Roman" w:cs="Times New Roman"/>
          <w:sz w:val="24"/>
          <w:szCs w:val="24"/>
        </w:rPr>
        <w:t xml:space="preserve"> Bestrafung </w:t>
      </w:r>
      <w:r w:rsidR="00D933D3" w:rsidRPr="00C031EA">
        <w:rPr>
          <w:rFonts w:ascii="Times New Roman" w:hAnsi="Times New Roman" w:cs="Times New Roman"/>
          <w:sz w:val="24"/>
          <w:szCs w:val="24"/>
        </w:rPr>
        <w:t>eines Einzelnen s</w:t>
      </w:r>
      <w:r w:rsidR="00D83AEC" w:rsidRPr="00C031EA">
        <w:rPr>
          <w:rFonts w:ascii="Times New Roman" w:hAnsi="Times New Roman" w:cs="Times New Roman"/>
          <w:sz w:val="24"/>
          <w:szCs w:val="24"/>
        </w:rPr>
        <w:t xml:space="preserve">chützen </w:t>
      </w:r>
      <w:r w:rsidR="00D933D3" w:rsidRPr="00C031EA">
        <w:rPr>
          <w:rFonts w:ascii="Times New Roman" w:hAnsi="Times New Roman" w:cs="Times New Roman"/>
          <w:sz w:val="24"/>
          <w:szCs w:val="24"/>
        </w:rPr>
        <w:t>zu müssen</w:t>
      </w:r>
      <w:r w:rsidRPr="00C031EA">
        <w:rPr>
          <w:rFonts w:ascii="Times New Roman" w:hAnsi="Times New Roman" w:cs="Times New Roman"/>
          <w:sz w:val="24"/>
          <w:szCs w:val="24"/>
        </w:rPr>
        <w:t xml:space="preserve">, mag auf den ersten Blick </w:t>
      </w:r>
      <w:r w:rsidR="0028031C" w:rsidRPr="00C031EA">
        <w:rPr>
          <w:rFonts w:ascii="Times New Roman" w:hAnsi="Times New Roman" w:cs="Times New Roman"/>
          <w:sz w:val="24"/>
          <w:szCs w:val="24"/>
        </w:rPr>
        <w:t xml:space="preserve">zumal aus Verteidigersicht </w:t>
      </w:r>
      <w:r w:rsidRPr="00C031EA">
        <w:rPr>
          <w:rFonts w:ascii="Times New Roman" w:hAnsi="Times New Roman" w:cs="Times New Roman"/>
          <w:sz w:val="24"/>
          <w:szCs w:val="24"/>
        </w:rPr>
        <w:t xml:space="preserve">ganz belustigend </w:t>
      </w:r>
      <w:r w:rsidR="00596FB1" w:rsidRPr="00C031EA">
        <w:rPr>
          <w:rFonts w:ascii="Times New Roman" w:hAnsi="Times New Roman" w:cs="Times New Roman"/>
          <w:sz w:val="24"/>
          <w:szCs w:val="24"/>
        </w:rPr>
        <w:t>sein</w:t>
      </w:r>
      <w:r w:rsidRPr="00C031EA">
        <w:rPr>
          <w:rFonts w:ascii="Times New Roman" w:hAnsi="Times New Roman" w:cs="Times New Roman"/>
          <w:sz w:val="24"/>
          <w:szCs w:val="24"/>
        </w:rPr>
        <w:t xml:space="preserve">. </w:t>
      </w:r>
      <w:r w:rsidR="003F6729" w:rsidRPr="00C031EA">
        <w:rPr>
          <w:rFonts w:ascii="Times New Roman" w:hAnsi="Times New Roman" w:cs="Times New Roman"/>
          <w:sz w:val="24"/>
          <w:szCs w:val="24"/>
        </w:rPr>
        <w:t xml:space="preserve">Dabei ist </w:t>
      </w:r>
      <w:r w:rsidR="00DF602E" w:rsidRPr="00C031EA">
        <w:rPr>
          <w:rFonts w:ascii="Times New Roman" w:hAnsi="Times New Roman" w:cs="Times New Roman"/>
          <w:sz w:val="24"/>
          <w:szCs w:val="24"/>
        </w:rPr>
        <w:t>de</w:t>
      </w:r>
      <w:r w:rsidR="00DC408B" w:rsidRPr="00C031EA">
        <w:rPr>
          <w:rFonts w:ascii="Times New Roman" w:hAnsi="Times New Roman" w:cs="Times New Roman"/>
          <w:sz w:val="24"/>
          <w:szCs w:val="24"/>
        </w:rPr>
        <w:t>r</w:t>
      </w:r>
      <w:r w:rsidR="00596FB1" w:rsidRPr="00C031EA">
        <w:rPr>
          <w:rFonts w:ascii="Times New Roman" w:hAnsi="Times New Roman" w:cs="Times New Roman"/>
          <w:sz w:val="24"/>
          <w:szCs w:val="24"/>
        </w:rPr>
        <w:t xml:space="preserve"> Gedanke</w:t>
      </w:r>
      <w:r w:rsidR="003D30F2" w:rsidRPr="00C031EA">
        <w:rPr>
          <w:rFonts w:ascii="Times New Roman" w:hAnsi="Times New Roman" w:cs="Times New Roman"/>
          <w:sz w:val="24"/>
          <w:szCs w:val="24"/>
        </w:rPr>
        <w:t xml:space="preserve"> </w:t>
      </w:r>
      <w:r w:rsidR="00596FB1" w:rsidRPr="00C031EA">
        <w:rPr>
          <w:rFonts w:ascii="Times New Roman" w:hAnsi="Times New Roman" w:cs="Times New Roman"/>
          <w:sz w:val="24"/>
          <w:szCs w:val="24"/>
        </w:rPr>
        <w:t xml:space="preserve">als solcher </w:t>
      </w:r>
      <w:r w:rsidR="00DF602E" w:rsidRPr="00C031EA">
        <w:rPr>
          <w:rFonts w:ascii="Times New Roman" w:hAnsi="Times New Roman" w:cs="Times New Roman"/>
          <w:sz w:val="24"/>
          <w:szCs w:val="24"/>
        </w:rPr>
        <w:t>so a</w:t>
      </w:r>
      <w:r w:rsidR="00596FB1" w:rsidRPr="00C031EA">
        <w:rPr>
          <w:rFonts w:ascii="Times New Roman" w:hAnsi="Times New Roman" w:cs="Times New Roman"/>
          <w:sz w:val="24"/>
          <w:szCs w:val="24"/>
        </w:rPr>
        <w:t>bwegig</w:t>
      </w:r>
      <w:r w:rsidR="00DF602E" w:rsidRPr="00C031EA">
        <w:rPr>
          <w:rFonts w:ascii="Times New Roman" w:hAnsi="Times New Roman" w:cs="Times New Roman"/>
          <w:sz w:val="24"/>
          <w:szCs w:val="24"/>
        </w:rPr>
        <w:t xml:space="preserve"> nun auch wieder nicht</w:t>
      </w:r>
      <w:r w:rsidR="003F6729" w:rsidRPr="00C031EA">
        <w:rPr>
          <w:rFonts w:ascii="Times New Roman" w:hAnsi="Times New Roman" w:cs="Times New Roman"/>
          <w:sz w:val="24"/>
          <w:szCs w:val="24"/>
        </w:rPr>
        <w:t>, wie ein</w:t>
      </w:r>
      <w:r w:rsidR="00596FB1" w:rsidRPr="00C031EA">
        <w:rPr>
          <w:rFonts w:ascii="Times New Roman" w:hAnsi="Times New Roman" w:cs="Times New Roman"/>
          <w:sz w:val="24"/>
          <w:szCs w:val="24"/>
        </w:rPr>
        <w:t xml:space="preserve"> Blick auf die</w:t>
      </w:r>
      <w:r w:rsidRPr="00C031EA">
        <w:rPr>
          <w:rFonts w:ascii="Times New Roman" w:hAnsi="Times New Roman" w:cs="Times New Roman"/>
          <w:sz w:val="24"/>
          <w:szCs w:val="24"/>
        </w:rPr>
        <w:t xml:space="preserve"> Kronzeugenregelungen </w:t>
      </w:r>
      <w:r w:rsidR="00DF602E" w:rsidRPr="00C031EA">
        <w:rPr>
          <w:rFonts w:ascii="Times New Roman" w:hAnsi="Times New Roman" w:cs="Times New Roman"/>
          <w:sz w:val="24"/>
          <w:szCs w:val="24"/>
        </w:rPr>
        <w:t>der</w:t>
      </w:r>
      <w:r w:rsidRPr="00C031EA">
        <w:rPr>
          <w:rFonts w:ascii="Times New Roman" w:hAnsi="Times New Roman" w:cs="Times New Roman"/>
          <w:sz w:val="24"/>
          <w:szCs w:val="24"/>
        </w:rPr>
        <w:t xml:space="preserve"> § 31 BtMG und § 46b StGB</w:t>
      </w:r>
      <w:r w:rsidR="003F6729" w:rsidRPr="00C031EA">
        <w:rPr>
          <w:rFonts w:ascii="Times New Roman" w:hAnsi="Times New Roman" w:cs="Times New Roman"/>
          <w:sz w:val="24"/>
          <w:szCs w:val="24"/>
        </w:rPr>
        <w:t xml:space="preserve"> zeigt</w:t>
      </w:r>
      <w:r w:rsidRPr="00C031EA">
        <w:rPr>
          <w:rFonts w:ascii="Times New Roman" w:hAnsi="Times New Roman" w:cs="Times New Roman"/>
          <w:sz w:val="24"/>
          <w:szCs w:val="24"/>
        </w:rPr>
        <w:t xml:space="preserve">. </w:t>
      </w:r>
    </w:p>
    <w:p w:rsidR="003B7839" w:rsidRPr="003B7839" w:rsidRDefault="003B7839" w:rsidP="003B7839">
      <w:pPr>
        <w:spacing w:before="240" w:after="0" w:line="360" w:lineRule="auto"/>
        <w:jc w:val="center"/>
        <w:rPr>
          <w:rFonts w:ascii="Times New Roman" w:hAnsi="Times New Roman" w:cs="Times New Roman"/>
          <w:i/>
          <w:sz w:val="24"/>
          <w:szCs w:val="24"/>
        </w:rPr>
      </w:pPr>
      <w:proofErr w:type="spellStart"/>
      <w:r w:rsidRPr="003B7839">
        <w:rPr>
          <w:rFonts w:ascii="Times New Roman" w:hAnsi="Times New Roman" w:cs="Times New Roman"/>
          <w:i/>
          <w:sz w:val="24"/>
          <w:szCs w:val="24"/>
          <w:highlight w:val="lightGray"/>
        </w:rPr>
        <w:t>StraFo</w:t>
      </w:r>
      <w:proofErr w:type="spellEnd"/>
      <w:r w:rsidRPr="003B7839">
        <w:rPr>
          <w:rFonts w:ascii="Times New Roman" w:hAnsi="Times New Roman" w:cs="Times New Roman"/>
          <w:i/>
          <w:sz w:val="24"/>
          <w:szCs w:val="24"/>
          <w:highlight w:val="lightGray"/>
        </w:rPr>
        <w:t xml:space="preserve"> 2013, 437</w:t>
      </w:r>
    </w:p>
    <w:p w:rsidR="003F6729" w:rsidRPr="00C031EA" w:rsidRDefault="0079307C" w:rsidP="003B7839">
      <w:pPr>
        <w:spacing w:before="120" w:after="0" w:line="360" w:lineRule="auto"/>
        <w:jc w:val="both"/>
        <w:rPr>
          <w:rFonts w:ascii="Times New Roman" w:hAnsi="Times New Roman" w:cs="Times New Roman"/>
          <w:sz w:val="24"/>
          <w:szCs w:val="24"/>
        </w:rPr>
      </w:pPr>
      <w:r w:rsidRPr="00C031EA">
        <w:rPr>
          <w:rFonts w:ascii="Times New Roman" w:hAnsi="Times New Roman" w:cs="Times New Roman"/>
          <w:sz w:val="24"/>
          <w:szCs w:val="24"/>
        </w:rPr>
        <w:t xml:space="preserve">Danach wird dem einzelnen Straftäter </w:t>
      </w:r>
      <w:r w:rsidR="003F6729" w:rsidRPr="00C031EA">
        <w:rPr>
          <w:rFonts w:ascii="Times New Roman" w:hAnsi="Times New Roman" w:cs="Times New Roman"/>
          <w:sz w:val="24"/>
          <w:szCs w:val="24"/>
        </w:rPr>
        <w:t xml:space="preserve">- </w:t>
      </w:r>
      <w:r w:rsidRPr="00C031EA">
        <w:rPr>
          <w:rFonts w:ascii="Times New Roman" w:hAnsi="Times New Roman" w:cs="Times New Roman"/>
          <w:sz w:val="24"/>
          <w:szCs w:val="24"/>
        </w:rPr>
        <w:t xml:space="preserve">im Gegenzug für seine Aufklärungshilfe </w:t>
      </w:r>
      <w:r w:rsidR="003F6729" w:rsidRPr="00C031EA">
        <w:rPr>
          <w:rFonts w:ascii="Times New Roman" w:hAnsi="Times New Roman" w:cs="Times New Roman"/>
          <w:sz w:val="24"/>
          <w:szCs w:val="24"/>
        </w:rPr>
        <w:t xml:space="preserve">- </w:t>
      </w:r>
      <w:r w:rsidRPr="00C031EA">
        <w:rPr>
          <w:rFonts w:ascii="Times New Roman" w:hAnsi="Times New Roman" w:cs="Times New Roman"/>
          <w:sz w:val="24"/>
          <w:szCs w:val="24"/>
        </w:rPr>
        <w:t xml:space="preserve">eine mildere Strafe gewährt, weil man sich davon </w:t>
      </w:r>
      <w:r w:rsidR="00294EE1" w:rsidRPr="00C031EA">
        <w:rPr>
          <w:rFonts w:ascii="Times New Roman" w:hAnsi="Times New Roman" w:cs="Times New Roman"/>
          <w:sz w:val="24"/>
          <w:szCs w:val="24"/>
        </w:rPr>
        <w:t>erhofft</w:t>
      </w:r>
      <w:r w:rsidR="002F0806" w:rsidRPr="00C031EA">
        <w:rPr>
          <w:rFonts w:ascii="Times New Roman" w:hAnsi="Times New Roman" w:cs="Times New Roman"/>
          <w:sz w:val="24"/>
          <w:szCs w:val="24"/>
        </w:rPr>
        <w:t>,</w:t>
      </w:r>
      <w:r w:rsidRPr="00C031EA">
        <w:rPr>
          <w:rFonts w:ascii="Times New Roman" w:hAnsi="Times New Roman" w:cs="Times New Roman"/>
          <w:sz w:val="24"/>
          <w:szCs w:val="24"/>
        </w:rPr>
        <w:t xml:space="preserve"> </w:t>
      </w:r>
      <w:r w:rsidR="00596FB1" w:rsidRPr="00C031EA">
        <w:rPr>
          <w:rFonts w:ascii="Times New Roman" w:hAnsi="Times New Roman" w:cs="Times New Roman"/>
          <w:sz w:val="24"/>
          <w:szCs w:val="24"/>
        </w:rPr>
        <w:t xml:space="preserve">im Interesse der Allgemeinheit </w:t>
      </w:r>
      <w:r w:rsidR="009B427C" w:rsidRPr="00C031EA">
        <w:rPr>
          <w:rFonts w:ascii="Times New Roman" w:hAnsi="Times New Roman" w:cs="Times New Roman"/>
          <w:sz w:val="24"/>
          <w:szCs w:val="24"/>
        </w:rPr>
        <w:t xml:space="preserve">weitere Straftaten aufklären oder </w:t>
      </w:r>
      <w:r w:rsidR="0028031C" w:rsidRPr="00C031EA">
        <w:rPr>
          <w:rFonts w:ascii="Times New Roman" w:hAnsi="Times New Roman" w:cs="Times New Roman"/>
          <w:sz w:val="24"/>
          <w:szCs w:val="24"/>
        </w:rPr>
        <w:t xml:space="preserve">zu </w:t>
      </w:r>
      <w:r w:rsidR="009B427C" w:rsidRPr="00C031EA">
        <w:rPr>
          <w:rFonts w:ascii="Times New Roman" w:hAnsi="Times New Roman" w:cs="Times New Roman"/>
          <w:sz w:val="24"/>
          <w:szCs w:val="24"/>
        </w:rPr>
        <w:t>verhindern</w:t>
      </w:r>
      <w:r w:rsidR="002F0806" w:rsidRPr="00C031EA">
        <w:rPr>
          <w:rFonts w:ascii="Times New Roman" w:hAnsi="Times New Roman" w:cs="Times New Roman"/>
          <w:sz w:val="24"/>
          <w:szCs w:val="24"/>
        </w:rPr>
        <w:t xml:space="preserve"> können</w:t>
      </w:r>
      <w:r w:rsidR="00596FB1" w:rsidRPr="00C031EA">
        <w:rPr>
          <w:rFonts w:ascii="Times New Roman" w:hAnsi="Times New Roman" w:cs="Times New Roman"/>
          <w:sz w:val="24"/>
          <w:szCs w:val="24"/>
        </w:rPr>
        <w:t>.</w:t>
      </w:r>
      <w:r w:rsidR="002F0806" w:rsidRPr="00C031EA">
        <w:rPr>
          <w:rFonts w:ascii="Times New Roman" w:hAnsi="Times New Roman" w:cs="Times New Roman"/>
          <w:sz w:val="24"/>
          <w:szCs w:val="24"/>
        </w:rPr>
        <w:t xml:space="preserve"> Ob diese Hoffnung nun berechtigt ist oder nicht, sei hier einmal dahingestellt.</w:t>
      </w:r>
      <w:r w:rsidR="00294EE1" w:rsidRPr="00C031EA">
        <w:rPr>
          <w:rStyle w:val="Funotenzeichen"/>
          <w:rFonts w:ascii="Times New Roman" w:hAnsi="Times New Roman" w:cs="Times New Roman"/>
          <w:sz w:val="24"/>
          <w:szCs w:val="24"/>
        </w:rPr>
        <w:footnoteReference w:id="1"/>
      </w:r>
      <w:r w:rsidR="00596FB1" w:rsidRPr="00C031EA">
        <w:rPr>
          <w:rFonts w:ascii="Times New Roman" w:hAnsi="Times New Roman" w:cs="Times New Roman"/>
          <w:sz w:val="24"/>
          <w:szCs w:val="24"/>
        </w:rPr>
        <w:t xml:space="preserve"> </w:t>
      </w:r>
      <w:r w:rsidR="000836D2">
        <w:rPr>
          <w:rFonts w:ascii="Times New Roman" w:hAnsi="Times New Roman" w:cs="Times New Roman"/>
          <w:sz w:val="24"/>
          <w:szCs w:val="24"/>
        </w:rPr>
        <w:t>E</w:t>
      </w:r>
      <w:r w:rsidR="003F6729" w:rsidRPr="00C031EA">
        <w:rPr>
          <w:rFonts w:ascii="Times New Roman" w:hAnsi="Times New Roman" w:cs="Times New Roman"/>
          <w:sz w:val="24"/>
          <w:szCs w:val="24"/>
        </w:rPr>
        <w:t xml:space="preserve">s kommt auch nicht entscheidend darauf an, dass der Angeklagte hier in den Genuss einer milderen bzw. zu milden Strafe gekommen ist, ohne </w:t>
      </w:r>
      <w:r w:rsidR="00EF0375">
        <w:rPr>
          <w:rFonts w:ascii="Times New Roman" w:hAnsi="Times New Roman" w:cs="Times New Roman"/>
          <w:sz w:val="24"/>
          <w:szCs w:val="24"/>
        </w:rPr>
        <w:t xml:space="preserve">im Gegensatz zu einem Kronzeugen </w:t>
      </w:r>
      <w:r w:rsidR="003F6729" w:rsidRPr="00C031EA">
        <w:rPr>
          <w:rFonts w:ascii="Times New Roman" w:hAnsi="Times New Roman" w:cs="Times New Roman"/>
          <w:sz w:val="24"/>
          <w:szCs w:val="24"/>
        </w:rPr>
        <w:t xml:space="preserve">etwas zur Aufklärung </w:t>
      </w:r>
      <w:r w:rsidR="00D54430" w:rsidRPr="00C031EA">
        <w:rPr>
          <w:rFonts w:ascii="Times New Roman" w:hAnsi="Times New Roman" w:cs="Times New Roman"/>
          <w:sz w:val="24"/>
          <w:szCs w:val="24"/>
        </w:rPr>
        <w:t xml:space="preserve">oder Prävention </w:t>
      </w:r>
      <w:r w:rsidR="003F6729" w:rsidRPr="00C031EA">
        <w:rPr>
          <w:rFonts w:ascii="Times New Roman" w:hAnsi="Times New Roman" w:cs="Times New Roman"/>
          <w:sz w:val="24"/>
          <w:szCs w:val="24"/>
        </w:rPr>
        <w:t xml:space="preserve">weiterer Straftaten beigetragen </w:t>
      </w:r>
      <w:r w:rsidR="00EF0375">
        <w:rPr>
          <w:rFonts w:ascii="Times New Roman" w:hAnsi="Times New Roman" w:cs="Times New Roman"/>
          <w:sz w:val="24"/>
          <w:szCs w:val="24"/>
        </w:rPr>
        <w:t>zu haben</w:t>
      </w:r>
      <w:r w:rsidR="003F6729" w:rsidRPr="00C031EA">
        <w:rPr>
          <w:rFonts w:ascii="Times New Roman" w:hAnsi="Times New Roman" w:cs="Times New Roman"/>
          <w:sz w:val="24"/>
          <w:szCs w:val="24"/>
        </w:rPr>
        <w:t>.</w:t>
      </w:r>
      <w:r w:rsidR="00B97BA3" w:rsidRPr="00C031EA">
        <w:rPr>
          <w:rStyle w:val="Funotenzeichen"/>
          <w:rFonts w:ascii="Times New Roman" w:hAnsi="Times New Roman" w:cs="Times New Roman"/>
          <w:sz w:val="24"/>
          <w:szCs w:val="24"/>
        </w:rPr>
        <w:footnoteReference w:id="2"/>
      </w:r>
      <w:r w:rsidR="00D54430" w:rsidRPr="00C031EA">
        <w:rPr>
          <w:rFonts w:ascii="Times New Roman" w:hAnsi="Times New Roman" w:cs="Times New Roman"/>
          <w:sz w:val="24"/>
          <w:szCs w:val="24"/>
        </w:rPr>
        <w:t xml:space="preserve"> </w:t>
      </w:r>
      <w:r w:rsidR="00EF0375">
        <w:rPr>
          <w:rFonts w:ascii="Times New Roman" w:hAnsi="Times New Roman" w:cs="Times New Roman"/>
          <w:sz w:val="24"/>
          <w:szCs w:val="24"/>
        </w:rPr>
        <w:t>E</w:t>
      </w:r>
      <w:r w:rsidR="00D54430" w:rsidRPr="00C031EA">
        <w:rPr>
          <w:rFonts w:ascii="Times New Roman" w:hAnsi="Times New Roman" w:cs="Times New Roman"/>
          <w:sz w:val="24"/>
          <w:szCs w:val="24"/>
        </w:rPr>
        <w:t xml:space="preserve">s </w:t>
      </w:r>
      <w:r w:rsidR="00725BD9" w:rsidRPr="00C031EA">
        <w:rPr>
          <w:rFonts w:ascii="Times New Roman" w:hAnsi="Times New Roman" w:cs="Times New Roman"/>
          <w:sz w:val="24"/>
          <w:szCs w:val="24"/>
        </w:rPr>
        <w:t xml:space="preserve">mit der </w:t>
      </w:r>
      <w:r w:rsidR="00D54430" w:rsidRPr="00EF0375">
        <w:rPr>
          <w:rFonts w:ascii="Times New Roman" w:hAnsi="Times New Roman" w:cs="Times New Roman"/>
          <w:i/>
          <w:sz w:val="24"/>
          <w:szCs w:val="24"/>
        </w:rPr>
        <w:t>gesetzlichen</w:t>
      </w:r>
      <w:r w:rsidR="00D54430" w:rsidRPr="00C031EA">
        <w:rPr>
          <w:rFonts w:ascii="Times New Roman" w:hAnsi="Times New Roman" w:cs="Times New Roman"/>
          <w:sz w:val="24"/>
          <w:szCs w:val="24"/>
        </w:rPr>
        <w:t xml:space="preserve"> Konzeption und </w:t>
      </w:r>
      <w:r w:rsidR="00D54430" w:rsidRPr="00EF0375">
        <w:rPr>
          <w:rFonts w:ascii="Times New Roman" w:hAnsi="Times New Roman" w:cs="Times New Roman"/>
          <w:i/>
          <w:sz w:val="24"/>
          <w:szCs w:val="24"/>
        </w:rPr>
        <w:t>richterlichen</w:t>
      </w:r>
      <w:r w:rsidR="00D54430" w:rsidRPr="00C031EA">
        <w:rPr>
          <w:rFonts w:ascii="Times New Roman" w:hAnsi="Times New Roman" w:cs="Times New Roman"/>
          <w:sz w:val="24"/>
          <w:szCs w:val="24"/>
        </w:rPr>
        <w:t xml:space="preserve"> Anwendung</w:t>
      </w:r>
      <w:r w:rsidR="00DF602E" w:rsidRPr="00C031EA">
        <w:rPr>
          <w:rFonts w:ascii="Times New Roman" w:hAnsi="Times New Roman" w:cs="Times New Roman"/>
          <w:sz w:val="24"/>
          <w:szCs w:val="24"/>
        </w:rPr>
        <w:t xml:space="preserve"> </w:t>
      </w:r>
      <w:r w:rsidR="002F0806" w:rsidRPr="00C031EA">
        <w:rPr>
          <w:rFonts w:ascii="Times New Roman" w:hAnsi="Times New Roman" w:cs="Times New Roman"/>
          <w:sz w:val="24"/>
          <w:szCs w:val="24"/>
        </w:rPr>
        <w:t>solch</w:t>
      </w:r>
      <w:r w:rsidR="00D54430" w:rsidRPr="00C031EA">
        <w:rPr>
          <w:rFonts w:ascii="Times New Roman" w:hAnsi="Times New Roman" w:cs="Times New Roman"/>
          <w:sz w:val="24"/>
          <w:szCs w:val="24"/>
        </w:rPr>
        <w:t xml:space="preserve"> </w:t>
      </w:r>
      <w:proofErr w:type="spellStart"/>
      <w:r w:rsidR="00D54430" w:rsidRPr="00C031EA">
        <w:rPr>
          <w:rFonts w:ascii="Times New Roman" w:hAnsi="Times New Roman" w:cs="Times New Roman"/>
          <w:sz w:val="24"/>
          <w:szCs w:val="24"/>
        </w:rPr>
        <w:t>vertypter</w:t>
      </w:r>
      <w:proofErr w:type="spellEnd"/>
      <w:r w:rsidR="00DF602E" w:rsidRPr="00C031EA">
        <w:rPr>
          <w:rFonts w:ascii="Times New Roman" w:hAnsi="Times New Roman" w:cs="Times New Roman"/>
          <w:sz w:val="24"/>
          <w:szCs w:val="24"/>
        </w:rPr>
        <w:t xml:space="preserve"> </w:t>
      </w:r>
      <w:r w:rsidR="00EF0375">
        <w:rPr>
          <w:rFonts w:ascii="Times New Roman" w:hAnsi="Times New Roman" w:cs="Times New Roman"/>
          <w:sz w:val="24"/>
          <w:szCs w:val="24"/>
        </w:rPr>
        <w:t>Strafmilderungsgründe in keiner Weise</w:t>
      </w:r>
      <w:r w:rsidR="00DF602E" w:rsidRPr="00C031EA">
        <w:rPr>
          <w:rFonts w:ascii="Times New Roman" w:hAnsi="Times New Roman" w:cs="Times New Roman"/>
          <w:sz w:val="24"/>
          <w:szCs w:val="24"/>
        </w:rPr>
        <w:t xml:space="preserve"> zu vergleichen</w:t>
      </w:r>
      <w:r w:rsidR="00725BD9" w:rsidRPr="00C031EA">
        <w:rPr>
          <w:rFonts w:ascii="Times New Roman" w:hAnsi="Times New Roman" w:cs="Times New Roman"/>
          <w:sz w:val="24"/>
          <w:szCs w:val="24"/>
        </w:rPr>
        <w:t xml:space="preserve">, </w:t>
      </w:r>
      <w:r w:rsidR="00D54430" w:rsidRPr="00C031EA">
        <w:rPr>
          <w:rFonts w:ascii="Times New Roman" w:hAnsi="Times New Roman" w:cs="Times New Roman"/>
          <w:sz w:val="24"/>
          <w:szCs w:val="24"/>
        </w:rPr>
        <w:t>wenn</w:t>
      </w:r>
      <w:r w:rsidR="00725BD9" w:rsidRPr="00C031EA">
        <w:rPr>
          <w:rFonts w:ascii="Times New Roman" w:hAnsi="Times New Roman" w:cs="Times New Roman"/>
          <w:sz w:val="24"/>
          <w:szCs w:val="24"/>
        </w:rPr>
        <w:t xml:space="preserve"> ein </w:t>
      </w:r>
      <w:r w:rsidR="00EF0375">
        <w:rPr>
          <w:rFonts w:ascii="Times New Roman" w:hAnsi="Times New Roman" w:cs="Times New Roman"/>
          <w:sz w:val="24"/>
          <w:szCs w:val="24"/>
        </w:rPr>
        <w:t>S</w:t>
      </w:r>
      <w:r w:rsidR="00DF602E" w:rsidRPr="00C031EA">
        <w:rPr>
          <w:rFonts w:ascii="Times New Roman" w:hAnsi="Times New Roman" w:cs="Times New Roman"/>
          <w:sz w:val="24"/>
          <w:szCs w:val="24"/>
        </w:rPr>
        <w:t xml:space="preserve">taatsanwalt </w:t>
      </w:r>
      <w:r w:rsidR="002F0806" w:rsidRPr="00C031EA">
        <w:rPr>
          <w:rFonts w:ascii="Times New Roman" w:hAnsi="Times New Roman" w:cs="Times New Roman"/>
          <w:sz w:val="24"/>
          <w:szCs w:val="24"/>
        </w:rPr>
        <w:t>eigenmächtig</w:t>
      </w:r>
      <w:r w:rsidR="00725BD9" w:rsidRPr="00C031EA">
        <w:rPr>
          <w:rFonts w:ascii="Times New Roman" w:hAnsi="Times New Roman" w:cs="Times New Roman"/>
          <w:sz w:val="24"/>
          <w:szCs w:val="24"/>
        </w:rPr>
        <w:t xml:space="preserve"> die </w:t>
      </w:r>
      <w:r w:rsidR="00FD18E2" w:rsidRPr="00C031EA">
        <w:rPr>
          <w:rFonts w:ascii="Times New Roman" w:hAnsi="Times New Roman" w:cs="Times New Roman"/>
          <w:i/>
          <w:sz w:val="24"/>
          <w:szCs w:val="24"/>
        </w:rPr>
        <w:t>„</w:t>
      </w:r>
      <w:r w:rsidR="00DF602E" w:rsidRPr="00C031EA">
        <w:rPr>
          <w:rFonts w:ascii="Times New Roman" w:hAnsi="Times New Roman" w:cs="Times New Roman"/>
          <w:i/>
          <w:sz w:val="24"/>
          <w:szCs w:val="24"/>
        </w:rPr>
        <w:t>Entscheidung</w:t>
      </w:r>
      <w:r w:rsidR="00725BD9" w:rsidRPr="00C031EA">
        <w:rPr>
          <w:rFonts w:ascii="Times New Roman" w:hAnsi="Times New Roman" w:cs="Times New Roman"/>
          <w:i/>
          <w:sz w:val="24"/>
          <w:szCs w:val="24"/>
        </w:rPr>
        <w:t xml:space="preserve"> (trifft),</w:t>
      </w:r>
      <w:r w:rsidR="00DF602E" w:rsidRPr="00C031EA">
        <w:rPr>
          <w:rFonts w:ascii="Times New Roman" w:hAnsi="Times New Roman" w:cs="Times New Roman"/>
          <w:i/>
          <w:sz w:val="24"/>
          <w:szCs w:val="24"/>
        </w:rPr>
        <w:t xml:space="preserve"> </w:t>
      </w:r>
      <w:r w:rsidR="00FD18E2" w:rsidRPr="00C031EA">
        <w:rPr>
          <w:rFonts w:ascii="Times New Roman" w:hAnsi="Times New Roman" w:cs="Times New Roman"/>
          <w:i/>
          <w:sz w:val="24"/>
          <w:szCs w:val="24"/>
        </w:rPr>
        <w:t>dass eine insgesamt etwas zu milde Bestrafung des Beschuldigten (…) zum Schutze der Allgemeinheit vor dem weiteren Kokainhandel der restlichen Bandenmitglieder zurückstehen müsse“</w:t>
      </w:r>
      <w:r w:rsidR="00725BD9" w:rsidRPr="00C031EA">
        <w:rPr>
          <w:rStyle w:val="Funotenzeichen"/>
          <w:rFonts w:ascii="Times New Roman" w:hAnsi="Times New Roman" w:cs="Times New Roman"/>
          <w:i/>
          <w:sz w:val="24"/>
          <w:szCs w:val="24"/>
        </w:rPr>
        <w:footnoteReference w:id="3"/>
      </w:r>
      <w:r w:rsidR="002F0806" w:rsidRPr="00C031EA">
        <w:rPr>
          <w:rFonts w:ascii="Times New Roman" w:hAnsi="Times New Roman" w:cs="Times New Roman"/>
          <w:i/>
          <w:sz w:val="24"/>
          <w:szCs w:val="24"/>
        </w:rPr>
        <w:t xml:space="preserve"> -</w:t>
      </w:r>
      <w:r w:rsidR="00890543" w:rsidRPr="00C031EA">
        <w:rPr>
          <w:rFonts w:ascii="Times New Roman" w:hAnsi="Times New Roman" w:cs="Times New Roman"/>
          <w:i/>
          <w:sz w:val="24"/>
          <w:szCs w:val="24"/>
        </w:rPr>
        <w:t xml:space="preserve"> </w:t>
      </w:r>
      <w:r w:rsidR="00FD18E2" w:rsidRPr="00C031EA">
        <w:rPr>
          <w:rFonts w:ascii="Times New Roman" w:hAnsi="Times New Roman" w:cs="Times New Roman"/>
          <w:sz w:val="24"/>
          <w:szCs w:val="24"/>
        </w:rPr>
        <w:t xml:space="preserve">und </w:t>
      </w:r>
      <w:r w:rsidR="002F0806" w:rsidRPr="00C031EA">
        <w:rPr>
          <w:rFonts w:ascii="Times New Roman" w:hAnsi="Times New Roman" w:cs="Times New Roman"/>
          <w:sz w:val="24"/>
          <w:szCs w:val="24"/>
        </w:rPr>
        <w:t xml:space="preserve">infolgedessen </w:t>
      </w:r>
      <w:r w:rsidR="00FD18E2" w:rsidRPr="00C031EA">
        <w:rPr>
          <w:rFonts w:ascii="Times New Roman" w:hAnsi="Times New Roman" w:cs="Times New Roman"/>
          <w:sz w:val="24"/>
          <w:szCs w:val="24"/>
        </w:rPr>
        <w:t xml:space="preserve">den Beschuldigten gar nicht erst </w:t>
      </w:r>
      <w:r w:rsidR="007B71AA" w:rsidRPr="00C031EA">
        <w:rPr>
          <w:rFonts w:ascii="Times New Roman" w:hAnsi="Times New Roman" w:cs="Times New Roman"/>
          <w:sz w:val="24"/>
          <w:szCs w:val="24"/>
        </w:rPr>
        <w:t xml:space="preserve">wegen </w:t>
      </w:r>
      <w:r w:rsidR="00FD18E2" w:rsidRPr="00C031EA">
        <w:rPr>
          <w:rFonts w:ascii="Times New Roman" w:hAnsi="Times New Roman" w:cs="Times New Roman"/>
          <w:sz w:val="24"/>
          <w:szCs w:val="24"/>
        </w:rPr>
        <w:t xml:space="preserve">des mit einer Mindestfreiheitsstrafe </w:t>
      </w:r>
      <w:r w:rsidR="002F0806" w:rsidRPr="00C031EA">
        <w:rPr>
          <w:rFonts w:ascii="Times New Roman" w:hAnsi="Times New Roman" w:cs="Times New Roman"/>
          <w:sz w:val="24"/>
          <w:szCs w:val="24"/>
        </w:rPr>
        <w:t xml:space="preserve">von </w:t>
      </w:r>
      <w:r w:rsidR="00FD18E2" w:rsidRPr="00C031EA">
        <w:rPr>
          <w:rFonts w:ascii="Times New Roman" w:hAnsi="Times New Roman" w:cs="Times New Roman"/>
          <w:sz w:val="24"/>
          <w:szCs w:val="24"/>
        </w:rPr>
        <w:t xml:space="preserve">fünf Jahren bedrohten </w:t>
      </w:r>
      <w:r w:rsidR="007B71AA" w:rsidRPr="00C031EA">
        <w:rPr>
          <w:rFonts w:ascii="Times New Roman" w:hAnsi="Times New Roman" w:cs="Times New Roman"/>
          <w:sz w:val="24"/>
          <w:szCs w:val="24"/>
        </w:rPr>
        <w:t>bandenmäßige</w:t>
      </w:r>
      <w:r w:rsidR="00FD18E2" w:rsidRPr="00C031EA">
        <w:rPr>
          <w:rFonts w:ascii="Times New Roman" w:hAnsi="Times New Roman" w:cs="Times New Roman"/>
          <w:sz w:val="24"/>
          <w:szCs w:val="24"/>
        </w:rPr>
        <w:t>n Handels mit Betäubungsmitteln nach § 30a BtMG, sondern nur wegen unerlaubten Besitzes von Betäubungsmitteln nach § 29a Abs. I Nr. 2 BtMG</w:t>
      </w:r>
      <w:r w:rsidR="002F0806" w:rsidRPr="00C031EA">
        <w:rPr>
          <w:rFonts w:ascii="Times New Roman" w:hAnsi="Times New Roman" w:cs="Times New Roman"/>
          <w:sz w:val="24"/>
          <w:szCs w:val="24"/>
        </w:rPr>
        <w:t xml:space="preserve"> mit einer Mindeststrafe von nur einem Jahr Freiheitsstrafe anklagt</w:t>
      </w:r>
      <w:r w:rsidR="00FD18E2" w:rsidRPr="00C031EA">
        <w:rPr>
          <w:rFonts w:ascii="Times New Roman" w:hAnsi="Times New Roman" w:cs="Times New Roman"/>
          <w:sz w:val="24"/>
          <w:szCs w:val="24"/>
        </w:rPr>
        <w:t>.</w:t>
      </w:r>
      <w:r w:rsidR="00725BD9" w:rsidRPr="00C031EA">
        <w:rPr>
          <w:rFonts w:ascii="Times New Roman" w:hAnsi="Times New Roman" w:cs="Times New Roman"/>
          <w:sz w:val="24"/>
          <w:szCs w:val="24"/>
        </w:rPr>
        <w:t xml:space="preserve"> </w:t>
      </w:r>
    </w:p>
    <w:p w:rsidR="00B25A6B" w:rsidRPr="00C031EA" w:rsidRDefault="002F0806" w:rsidP="00C031EA">
      <w:pPr>
        <w:spacing w:before="120" w:after="0" w:line="360" w:lineRule="auto"/>
        <w:jc w:val="both"/>
        <w:rPr>
          <w:rFonts w:ascii="Times New Roman" w:hAnsi="Times New Roman" w:cs="Times New Roman"/>
          <w:sz w:val="24"/>
          <w:szCs w:val="24"/>
        </w:rPr>
      </w:pPr>
      <w:r w:rsidRPr="00C031EA">
        <w:rPr>
          <w:rFonts w:ascii="Times New Roman" w:hAnsi="Times New Roman" w:cs="Times New Roman"/>
          <w:sz w:val="24"/>
          <w:szCs w:val="24"/>
        </w:rPr>
        <w:lastRenderedPageBreak/>
        <w:t>A</w:t>
      </w:r>
      <w:r w:rsidR="00725BD9" w:rsidRPr="00C031EA">
        <w:rPr>
          <w:rFonts w:ascii="Times New Roman" w:hAnsi="Times New Roman" w:cs="Times New Roman"/>
          <w:sz w:val="24"/>
          <w:szCs w:val="24"/>
        </w:rPr>
        <w:t xml:space="preserve">uch </w:t>
      </w:r>
      <w:r w:rsidR="00EF0375">
        <w:rPr>
          <w:rFonts w:ascii="Times New Roman" w:hAnsi="Times New Roman" w:cs="Times New Roman"/>
          <w:sz w:val="24"/>
          <w:szCs w:val="24"/>
        </w:rPr>
        <w:t xml:space="preserve">wenn eine </w:t>
      </w:r>
      <w:r w:rsidR="00F21B27" w:rsidRPr="00C031EA">
        <w:rPr>
          <w:rFonts w:ascii="Times New Roman" w:hAnsi="Times New Roman" w:cs="Times New Roman"/>
          <w:sz w:val="24"/>
          <w:szCs w:val="24"/>
        </w:rPr>
        <w:t xml:space="preserve">Strafe </w:t>
      </w:r>
      <w:r w:rsidR="00D54430" w:rsidRPr="00C031EA">
        <w:rPr>
          <w:rFonts w:ascii="Times New Roman" w:hAnsi="Times New Roman" w:cs="Times New Roman"/>
          <w:sz w:val="24"/>
          <w:szCs w:val="24"/>
        </w:rPr>
        <w:t xml:space="preserve">infolge der </w:t>
      </w:r>
      <w:r w:rsidR="00725BD9" w:rsidRPr="00C031EA">
        <w:rPr>
          <w:rFonts w:ascii="Times New Roman" w:hAnsi="Times New Roman" w:cs="Times New Roman"/>
          <w:sz w:val="24"/>
          <w:szCs w:val="24"/>
        </w:rPr>
        <w:t xml:space="preserve">Kronzeugenregelung </w:t>
      </w:r>
      <w:r w:rsidR="00DC408B" w:rsidRPr="00C031EA">
        <w:rPr>
          <w:rFonts w:ascii="Times New Roman" w:hAnsi="Times New Roman" w:cs="Times New Roman"/>
          <w:sz w:val="24"/>
          <w:szCs w:val="24"/>
        </w:rPr>
        <w:t>am Ende milder ausf</w:t>
      </w:r>
      <w:r w:rsidR="00F21B27" w:rsidRPr="00C031EA">
        <w:rPr>
          <w:rFonts w:ascii="Times New Roman" w:hAnsi="Times New Roman" w:cs="Times New Roman"/>
          <w:sz w:val="24"/>
          <w:szCs w:val="24"/>
        </w:rPr>
        <w:t>ä</w:t>
      </w:r>
      <w:r w:rsidR="00DC408B" w:rsidRPr="00C031EA">
        <w:rPr>
          <w:rFonts w:ascii="Times New Roman" w:hAnsi="Times New Roman" w:cs="Times New Roman"/>
          <w:sz w:val="24"/>
          <w:szCs w:val="24"/>
        </w:rPr>
        <w:t>ll</w:t>
      </w:r>
      <w:r w:rsidR="00F21B27" w:rsidRPr="00C031EA">
        <w:rPr>
          <w:rFonts w:ascii="Times New Roman" w:hAnsi="Times New Roman" w:cs="Times New Roman"/>
          <w:sz w:val="24"/>
          <w:szCs w:val="24"/>
        </w:rPr>
        <w:t>t</w:t>
      </w:r>
      <w:r w:rsidR="00DC408B" w:rsidRPr="00C031EA">
        <w:rPr>
          <w:rFonts w:ascii="Times New Roman" w:hAnsi="Times New Roman" w:cs="Times New Roman"/>
          <w:sz w:val="24"/>
          <w:szCs w:val="24"/>
        </w:rPr>
        <w:t xml:space="preserve"> als </w:t>
      </w:r>
      <w:r w:rsidR="00F21B27" w:rsidRPr="00C031EA">
        <w:rPr>
          <w:rFonts w:ascii="Times New Roman" w:hAnsi="Times New Roman" w:cs="Times New Roman"/>
          <w:sz w:val="24"/>
          <w:szCs w:val="24"/>
        </w:rPr>
        <w:t xml:space="preserve">dies </w:t>
      </w:r>
      <w:r w:rsidR="00DC408B" w:rsidRPr="00C031EA">
        <w:rPr>
          <w:rFonts w:ascii="Times New Roman" w:hAnsi="Times New Roman" w:cs="Times New Roman"/>
          <w:sz w:val="24"/>
          <w:szCs w:val="24"/>
        </w:rPr>
        <w:t>ohne die Aufklärungs</w:t>
      </w:r>
      <w:r w:rsidR="00F21B27" w:rsidRPr="00C031EA">
        <w:rPr>
          <w:rFonts w:ascii="Times New Roman" w:hAnsi="Times New Roman" w:cs="Times New Roman"/>
          <w:sz w:val="24"/>
          <w:szCs w:val="24"/>
        </w:rPr>
        <w:t>- und Präventions</w:t>
      </w:r>
      <w:r w:rsidR="00DC408B" w:rsidRPr="00C031EA">
        <w:rPr>
          <w:rFonts w:ascii="Times New Roman" w:hAnsi="Times New Roman" w:cs="Times New Roman"/>
          <w:sz w:val="24"/>
          <w:szCs w:val="24"/>
        </w:rPr>
        <w:t xml:space="preserve">hilfe </w:t>
      </w:r>
      <w:r w:rsidR="00F21B27" w:rsidRPr="00C031EA">
        <w:rPr>
          <w:rFonts w:ascii="Times New Roman" w:hAnsi="Times New Roman" w:cs="Times New Roman"/>
          <w:sz w:val="24"/>
          <w:szCs w:val="24"/>
        </w:rPr>
        <w:t xml:space="preserve">eines Angeklagten der Fall </w:t>
      </w:r>
      <w:r w:rsidR="00EF0375">
        <w:rPr>
          <w:rFonts w:ascii="Times New Roman" w:hAnsi="Times New Roman" w:cs="Times New Roman"/>
          <w:sz w:val="24"/>
          <w:szCs w:val="24"/>
        </w:rPr>
        <w:t>wäre</w:t>
      </w:r>
      <w:r w:rsidR="00F21B27" w:rsidRPr="00C031EA">
        <w:rPr>
          <w:rFonts w:ascii="Times New Roman" w:hAnsi="Times New Roman" w:cs="Times New Roman"/>
          <w:sz w:val="24"/>
          <w:szCs w:val="24"/>
        </w:rPr>
        <w:t xml:space="preserve">, </w:t>
      </w:r>
      <w:r w:rsidR="00DC408B" w:rsidRPr="00C031EA">
        <w:rPr>
          <w:rFonts w:ascii="Times New Roman" w:hAnsi="Times New Roman" w:cs="Times New Roman"/>
          <w:i/>
          <w:sz w:val="24"/>
          <w:szCs w:val="24"/>
        </w:rPr>
        <w:t>zu</w:t>
      </w:r>
      <w:r w:rsidR="00DC408B" w:rsidRPr="00C031EA">
        <w:rPr>
          <w:rFonts w:ascii="Times New Roman" w:hAnsi="Times New Roman" w:cs="Times New Roman"/>
          <w:sz w:val="24"/>
          <w:szCs w:val="24"/>
        </w:rPr>
        <w:t xml:space="preserve"> milde wird sie dadurch </w:t>
      </w:r>
      <w:r w:rsidR="00663DFF" w:rsidRPr="00C031EA">
        <w:rPr>
          <w:rFonts w:ascii="Times New Roman" w:hAnsi="Times New Roman" w:cs="Times New Roman"/>
          <w:sz w:val="24"/>
          <w:szCs w:val="24"/>
        </w:rPr>
        <w:t>aber</w:t>
      </w:r>
      <w:r w:rsidR="00D54430" w:rsidRPr="00C031EA">
        <w:rPr>
          <w:rFonts w:ascii="Times New Roman" w:hAnsi="Times New Roman" w:cs="Times New Roman"/>
          <w:sz w:val="24"/>
          <w:szCs w:val="24"/>
        </w:rPr>
        <w:t xml:space="preserve"> </w:t>
      </w:r>
      <w:r w:rsidR="00EF0375">
        <w:rPr>
          <w:rFonts w:ascii="Times New Roman" w:hAnsi="Times New Roman" w:cs="Times New Roman"/>
          <w:sz w:val="24"/>
          <w:szCs w:val="24"/>
        </w:rPr>
        <w:t xml:space="preserve">gerade </w:t>
      </w:r>
      <w:r w:rsidR="00DC408B" w:rsidRPr="00C031EA">
        <w:rPr>
          <w:rFonts w:ascii="Times New Roman" w:hAnsi="Times New Roman" w:cs="Times New Roman"/>
          <w:sz w:val="24"/>
          <w:szCs w:val="24"/>
        </w:rPr>
        <w:t xml:space="preserve">nicht. </w:t>
      </w:r>
      <w:r w:rsidR="00DF602E" w:rsidRPr="00C031EA">
        <w:rPr>
          <w:rFonts w:ascii="Times New Roman" w:hAnsi="Times New Roman" w:cs="Times New Roman"/>
          <w:sz w:val="24"/>
          <w:szCs w:val="24"/>
        </w:rPr>
        <w:t>D</w:t>
      </w:r>
      <w:r w:rsidR="00F21B27" w:rsidRPr="00C031EA">
        <w:rPr>
          <w:rFonts w:ascii="Times New Roman" w:hAnsi="Times New Roman" w:cs="Times New Roman"/>
          <w:sz w:val="24"/>
          <w:szCs w:val="24"/>
        </w:rPr>
        <w:t xml:space="preserve">em Konstrukt </w:t>
      </w:r>
      <w:r w:rsidR="00DF602E" w:rsidRPr="00C031EA">
        <w:rPr>
          <w:rFonts w:ascii="Times New Roman" w:hAnsi="Times New Roman" w:cs="Times New Roman"/>
          <w:sz w:val="24"/>
          <w:szCs w:val="24"/>
        </w:rPr>
        <w:t xml:space="preserve">liegt </w:t>
      </w:r>
      <w:r w:rsidR="00F21B27" w:rsidRPr="00C031EA">
        <w:rPr>
          <w:rFonts w:ascii="Times New Roman" w:hAnsi="Times New Roman" w:cs="Times New Roman"/>
          <w:sz w:val="24"/>
          <w:szCs w:val="24"/>
        </w:rPr>
        <w:t>ja der Gedanke zugrunde, dass sich die Mithilfe des Angeklagten mildernd auf seine Schuld aus</w:t>
      </w:r>
      <w:r w:rsidR="00F70AB4" w:rsidRPr="00C031EA">
        <w:rPr>
          <w:rFonts w:ascii="Times New Roman" w:hAnsi="Times New Roman" w:cs="Times New Roman"/>
          <w:sz w:val="24"/>
          <w:szCs w:val="24"/>
        </w:rPr>
        <w:t>wirk</w:t>
      </w:r>
      <w:r w:rsidR="003B708D" w:rsidRPr="00C031EA">
        <w:rPr>
          <w:rFonts w:ascii="Times New Roman" w:hAnsi="Times New Roman" w:cs="Times New Roman"/>
          <w:sz w:val="24"/>
          <w:szCs w:val="24"/>
        </w:rPr>
        <w:t>t</w:t>
      </w:r>
      <w:r w:rsidR="00F70AB4" w:rsidRPr="00C031EA">
        <w:rPr>
          <w:rFonts w:ascii="Times New Roman" w:hAnsi="Times New Roman" w:cs="Times New Roman"/>
          <w:sz w:val="24"/>
          <w:szCs w:val="24"/>
        </w:rPr>
        <w:t xml:space="preserve">. </w:t>
      </w:r>
      <w:r w:rsidR="00F21B27" w:rsidRPr="00C031EA">
        <w:rPr>
          <w:rFonts w:ascii="Times New Roman" w:hAnsi="Times New Roman" w:cs="Times New Roman"/>
          <w:sz w:val="24"/>
          <w:szCs w:val="24"/>
        </w:rPr>
        <w:t xml:space="preserve">Der in der Verfassung verankerte und selbst für den Gesetzgeber, erst recht für Gericht und Staatsanwaltschaft indisponible Schuldgrundsatz wird also nicht angetastet. </w:t>
      </w:r>
      <w:r w:rsidR="00D54430" w:rsidRPr="00C031EA">
        <w:rPr>
          <w:rFonts w:ascii="Times New Roman" w:hAnsi="Times New Roman" w:cs="Times New Roman"/>
          <w:sz w:val="24"/>
          <w:szCs w:val="24"/>
        </w:rPr>
        <w:t>D</w:t>
      </w:r>
      <w:r w:rsidR="00890543" w:rsidRPr="00C031EA">
        <w:rPr>
          <w:rFonts w:ascii="Times New Roman" w:hAnsi="Times New Roman" w:cs="Times New Roman"/>
          <w:sz w:val="24"/>
          <w:szCs w:val="24"/>
        </w:rPr>
        <w:t xml:space="preserve">ie Entscheidung über die </w:t>
      </w:r>
      <w:r w:rsidR="00D54430" w:rsidRPr="00C031EA">
        <w:rPr>
          <w:rFonts w:ascii="Times New Roman" w:hAnsi="Times New Roman" w:cs="Times New Roman"/>
          <w:sz w:val="24"/>
          <w:szCs w:val="24"/>
        </w:rPr>
        <w:t xml:space="preserve">Zumessung der konkreten, ggf. nach § 46b StGB oder 31 BtMG einem milderen Rahmen zu entnehmende </w:t>
      </w:r>
      <w:r w:rsidR="00890543" w:rsidRPr="00C031EA">
        <w:rPr>
          <w:rFonts w:ascii="Times New Roman" w:hAnsi="Times New Roman" w:cs="Times New Roman"/>
          <w:sz w:val="24"/>
          <w:szCs w:val="24"/>
        </w:rPr>
        <w:t>Straf</w:t>
      </w:r>
      <w:r w:rsidR="00D54430" w:rsidRPr="00C031EA">
        <w:rPr>
          <w:rFonts w:ascii="Times New Roman" w:hAnsi="Times New Roman" w:cs="Times New Roman"/>
          <w:sz w:val="24"/>
          <w:szCs w:val="24"/>
        </w:rPr>
        <w:t xml:space="preserve">e bleibt </w:t>
      </w:r>
      <w:r w:rsidR="009958C0" w:rsidRPr="00C031EA">
        <w:rPr>
          <w:rFonts w:ascii="Times New Roman" w:hAnsi="Times New Roman" w:cs="Times New Roman"/>
          <w:sz w:val="24"/>
          <w:szCs w:val="24"/>
        </w:rPr>
        <w:t xml:space="preserve">kraft verfassungsrechtlichen Auftrags gem. Art. 92 GG nach wie vor einzig und allein </w:t>
      </w:r>
      <w:r w:rsidR="00F70AB4" w:rsidRPr="00C031EA">
        <w:rPr>
          <w:rFonts w:ascii="Times New Roman" w:hAnsi="Times New Roman" w:cs="Times New Roman"/>
          <w:sz w:val="24"/>
          <w:szCs w:val="24"/>
        </w:rPr>
        <w:t>dem</w:t>
      </w:r>
      <w:r w:rsidR="009958C0" w:rsidRPr="00C031EA">
        <w:rPr>
          <w:rFonts w:ascii="Times New Roman" w:hAnsi="Times New Roman" w:cs="Times New Roman"/>
          <w:sz w:val="24"/>
          <w:szCs w:val="24"/>
        </w:rPr>
        <w:t xml:space="preserve"> Gericht </w:t>
      </w:r>
      <w:r w:rsidR="00F70AB4" w:rsidRPr="00C031EA">
        <w:rPr>
          <w:rFonts w:ascii="Times New Roman" w:hAnsi="Times New Roman" w:cs="Times New Roman"/>
          <w:sz w:val="24"/>
          <w:szCs w:val="24"/>
        </w:rPr>
        <w:t>vorbehalten</w:t>
      </w:r>
      <w:r w:rsidR="00890543" w:rsidRPr="00C031EA">
        <w:rPr>
          <w:rFonts w:ascii="Times New Roman" w:hAnsi="Times New Roman" w:cs="Times New Roman"/>
          <w:sz w:val="24"/>
          <w:szCs w:val="24"/>
        </w:rPr>
        <w:t>.</w:t>
      </w:r>
      <w:r w:rsidR="00F21B27" w:rsidRPr="00C031EA">
        <w:rPr>
          <w:rStyle w:val="Funotenzeichen"/>
          <w:rFonts w:ascii="Times New Roman" w:hAnsi="Times New Roman" w:cs="Times New Roman"/>
          <w:sz w:val="24"/>
          <w:szCs w:val="24"/>
        </w:rPr>
        <w:footnoteReference w:id="4"/>
      </w:r>
      <w:r w:rsidR="00890543" w:rsidRPr="00C031EA">
        <w:rPr>
          <w:rFonts w:ascii="Times New Roman" w:hAnsi="Times New Roman" w:cs="Times New Roman"/>
          <w:sz w:val="24"/>
          <w:szCs w:val="24"/>
        </w:rPr>
        <w:t xml:space="preserve"> Einem </w:t>
      </w:r>
      <w:r w:rsidR="00B07DBF" w:rsidRPr="00C031EA">
        <w:rPr>
          <w:rFonts w:ascii="Times New Roman" w:hAnsi="Times New Roman" w:cs="Times New Roman"/>
          <w:sz w:val="24"/>
          <w:szCs w:val="24"/>
        </w:rPr>
        <w:t xml:space="preserve">Staatsanwalt hingegen wird es </w:t>
      </w:r>
      <w:r w:rsidR="00C205C3" w:rsidRPr="00C031EA">
        <w:rPr>
          <w:rFonts w:ascii="Times New Roman" w:hAnsi="Times New Roman" w:cs="Times New Roman"/>
          <w:sz w:val="24"/>
          <w:szCs w:val="24"/>
        </w:rPr>
        <w:t xml:space="preserve">auch und </w:t>
      </w:r>
      <w:r w:rsidR="003B708D" w:rsidRPr="00C031EA">
        <w:rPr>
          <w:rFonts w:ascii="Times New Roman" w:hAnsi="Times New Roman" w:cs="Times New Roman"/>
          <w:sz w:val="24"/>
          <w:szCs w:val="24"/>
        </w:rPr>
        <w:t xml:space="preserve">gerade </w:t>
      </w:r>
      <w:r w:rsidR="009958C0" w:rsidRPr="00C031EA">
        <w:rPr>
          <w:rFonts w:ascii="Times New Roman" w:hAnsi="Times New Roman" w:cs="Times New Roman"/>
          <w:sz w:val="24"/>
          <w:szCs w:val="24"/>
        </w:rPr>
        <w:t>durch</w:t>
      </w:r>
      <w:r w:rsidR="00B07DBF" w:rsidRPr="00C031EA">
        <w:rPr>
          <w:rFonts w:ascii="Times New Roman" w:hAnsi="Times New Roman" w:cs="Times New Roman"/>
          <w:sz w:val="24"/>
          <w:szCs w:val="24"/>
        </w:rPr>
        <w:t xml:space="preserve"> das „gemeine Wohl“ </w:t>
      </w:r>
      <w:r w:rsidR="009958C0" w:rsidRPr="00C031EA">
        <w:rPr>
          <w:rFonts w:ascii="Times New Roman" w:hAnsi="Times New Roman" w:cs="Times New Roman"/>
          <w:sz w:val="24"/>
          <w:szCs w:val="24"/>
        </w:rPr>
        <w:t>nicht</w:t>
      </w:r>
      <w:r w:rsidR="00B07DBF" w:rsidRPr="00C031EA">
        <w:rPr>
          <w:rFonts w:ascii="Times New Roman" w:hAnsi="Times New Roman" w:cs="Times New Roman"/>
          <w:sz w:val="24"/>
          <w:szCs w:val="24"/>
        </w:rPr>
        <w:t xml:space="preserve"> erlaubt, dass er bei der Entschließung über </w:t>
      </w:r>
      <w:r w:rsidR="00B46790" w:rsidRPr="00C031EA">
        <w:rPr>
          <w:rFonts w:ascii="Times New Roman" w:hAnsi="Times New Roman" w:cs="Times New Roman"/>
          <w:sz w:val="24"/>
          <w:szCs w:val="24"/>
        </w:rPr>
        <w:t xml:space="preserve">die </w:t>
      </w:r>
      <w:r w:rsidR="00B07DBF" w:rsidRPr="00C031EA">
        <w:rPr>
          <w:rFonts w:ascii="Times New Roman" w:hAnsi="Times New Roman" w:cs="Times New Roman"/>
          <w:sz w:val="24"/>
          <w:szCs w:val="24"/>
        </w:rPr>
        <w:t xml:space="preserve">Anklageerhebung seiner </w:t>
      </w:r>
      <w:r w:rsidR="00451441" w:rsidRPr="00C031EA">
        <w:rPr>
          <w:rFonts w:ascii="Times New Roman" w:hAnsi="Times New Roman" w:cs="Times New Roman"/>
          <w:sz w:val="24"/>
          <w:szCs w:val="24"/>
        </w:rPr>
        <w:t>eigenen Rechtsüberzeugung folgt</w:t>
      </w:r>
      <w:r w:rsidR="00B07DBF" w:rsidRPr="00C031EA">
        <w:rPr>
          <w:rStyle w:val="Funotenzeichen"/>
          <w:rFonts w:ascii="Times New Roman" w:hAnsi="Times New Roman" w:cs="Times New Roman"/>
          <w:sz w:val="24"/>
          <w:szCs w:val="24"/>
        </w:rPr>
        <w:footnoteReference w:id="5"/>
      </w:r>
      <w:r w:rsidR="00451441" w:rsidRPr="00C031EA">
        <w:rPr>
          <w:rFonts w:ascii="Times New Roman" w:hAnsi="Times New Roman" w:cs="Times New Roman"/>
          <w:sz w:val="24"/>
          <w:szCs w:val="24"/>
        </w:rPr>
        <w:t xml:space="preserve"> oder seine Entscheidung von den Folgen her funktionalisiert.</w:t>
      </w:r>
      <w:r w:rsidR="00451441" w:rsidRPr="00C031EA">
        <w:rPr>
          <w:rStyle w:val="Funotenzeichen"/>
          <w:rFonts w:ascii="Times New Roman" w:hAnsi="Times New Roman" w:cs="Times New Roman"/>
          <w:sz w:val="24"/>
          <w:szCs w:val="24"/>
        </w:rPr>
        <w:footnoteReference w:id="6"/>
      </w:r>
      <w:r w:rsidR="00B07DBF" w:rsidRPr="00C031EA">
        <w:rPr>
          <w:rFonts w:ascii="Times New Roman" w:hAnsi="Times New Roman" w:cs="Times New Roman"/>
          <w:sz w:val="24"/>
          <w:szCs w:val="24"/>
        </w:rPr>
        <w:t xml:space="preserve"> </w:t>
      </w:r>
      <w:r w:rsidR="00D54430" w:rsidRPr="00C031EA">
        <w:rPr>
          <w:rFonts w:ascii="Times New Roman" w:hAnsi="Times New Roman" w:cs="Times New Roman"/>
          <w:sz w:val="24"/>
          <w:szCs w:val="24"/>
        </w:rPr>
        <w:t>Ganz im Gegenteil mach</w:t>
      </w:r>
      <w:r w:rsidR="009C1DBD" w:rsidRPr="00C031EA">
        <w:rPr>
          <w:rFonts w:ascii="Times New Roman" w:hAnsi="Times New Roman" w:cs="Times New Roman"/>
          <w:sz w:val="24"/>
          <w:szCs w:val="24"/>
        </w:rPr>
        <w:t>t der (Qualifikations-) Tatbestand des § 258a StGB ü</w:t>
      </w:r>
      <w:r w:rsidR="00D54430" w:rsidRPr="00C031EA">
        <w:rPr>
          <w:rFonts w:ascii="Times New Roman" w:hAnsi="Times New Roman" w:cs="Times New Roman"/>
          <w:sz w:val="24"/>
          <w:szCs w:val="24"/>
        </w:rPr>
        <w:t xml:space="preserve">berdeutlich, dass die Allgemeinheit </w:t>
      </w:r>
      <w:r w:rsidR="00D54430" w:rsidRPr="00C031EA">
        <w:rPr>
          <w:rFonts w:ascii="Times New Roman" w:hAnsi="Times New Roman" w:cs="Times New Roman"/>
          <w:i/>
          <w:sz w:val="24"/>
          <w:szCs w:val="24"/>
        </w:rPr>
        <w:t>vor</w:t>
      </w:r>
      <w:r w:rsidR="00D54430" w:rsidRPr="00C031EA">
        <w:rPr>
          <w:rFonts w:ascii="Times New Roman" w:hAnsi="Times New Roman" w:cs="Times New Roman"/>
          <w:sz w:val="24"/>
          <w:szCs w:val="24"/>
        </w:rPr>
        <w:t xml:space="preserve"> und nicht etwa </w:t>
      </w:r>
      <w:r w:rsidR="00D54430" w:rsidRPr="00C031EA">
        <w:rPr>
          <w:rFonts w:ascii="Times New Roman" w:hAnsi="Times New Roman" w:cs="Times New Roman"/>
          <w:i/>
          <w:sz w:val="24"/>
          <w:szCs w:val="24"/>
        </w:rPr>
        <w:t>durch</w:t>
      </w:r>
      <w:r w:rsidR="00D54430" w:rsidRPr="00C031EA">
        <w:rPr>
          <w:rFonts w:ascii="Times New Roman" w:hAnsi="Times New Roman" w:cs="Times New Roman"/>
          <w:sz w:val="24"/>
          <w:szCs w:val="24"/>
        </w:rPr>
        <w:t xml:space="preserve"> Vereitelung des Strafanspruchs zu schützen ist. </w:t>
      </w:r>
      <w:r w:rsidR="009C1DBD" w:rsidRPr="00C031EA">
        <w:rPr>
          <w:rFonts w:ascii="Times New Roman" w:hAnsi="Times New Roman" w:cs="Times New Roman"/>
          <w:sz w:val="24"/>
          <w:szCs w:val="24"/>
        </w:rPr>
        <w:t>Schließlich handelt es sich dabei um nichts anders als das strafbewehrte Verbot, den prozessualen Legalitätsgrundsatz zu verletzen</w:t>
      </w:r>
      <w:r w:rsidR="00273A42" w:rsidRPr="00C031EA">
        <w:rPr>
          <w:rFonts w:ascii="Times New Roman" w:hAnsi="Times New Roman" w:cs="Times New Roman"/>
          <w:sz w:val="24"/>
          <w:szCs w:val="24"/>
        </w:rPr>
        <w:t xml:space="preserve">. Und </w:t>
      </w:r>
      <w:r w:rsidR="009C1DBD" w:rsidRPr="00C031EA">
        <w:rPr>
          <w:rFonts w:ascii="Times New Roman" w:hAnsi="Times New Roman" w:cs="Times New Roman"/>
          <w:sz w:val="24"/>
          <w:szCs w:val="24"/>
        </w:rPr>
        <w:t>dieser</w:t>
      </w:r>
      <w:r w:rsidR="00273A42" w:rsidRPr="00C031EA">
        <w:rPr>
          <w:rFonts w:ascii="Times New Roman" w:hAnsi="Times New Roman" w:cs="Times New Roman"/>
          <w:sz w:val="24"/>
          <w:szCs w:val="24"/>
        </w:rPr>
        <w:t xml:space="preserve"> </w:t>
      </w:r>
      <w:r w:rsidR="00E96BAD" w:rsidRPr="00C031EA">
        <w:rPr>
          <w:rFonts w:ascii="Times New Roman" w:hAnsi="Times New Roman" w:cs="Times New Roman"/>
          <w:sz w:val="24"/>
          <w:szCs w:val="24"/>
        </w:rPr>
        <w:t>in</w:t>
      </w:r>
      <w:r w:rsidR="00E96BAD" w:rsidRPr="00C031EA">
        <w:rPr>
          <w:rFonts w:ascii="Times New Roman" w:hAnsi="Times New Roman" w:cs="Times New Roman"/>
          <w:b/>
          <w:sz w:val="24"/>
          <w:szCs w:val="24"/>
        </w:rPr>
        <w:t xml:space="preserve"> </w:t>
      </w:r>
      <w:proofErr w:type="gramStart"/>
      <w:r w:rsidR="00E96BAD" w:rsidRPr="00C031EA">
        <w:rPr>
          <w:rFonts w:ascii="Times New Roman" w:hAnsi="Times New Roman" w:cs="Times New Roman"/>
          <w:sz w:val="24"/>
          <w:szCs w:val="24"/>
        </w:rPr>
        <w:t>§</w:t>
      </w:r>
      <w:r w:rsidR="009C1DBD" w:rsidRPr="00C031EA">
        <w:rPr>
          <w:rFonts w:ascii="Times New Roman" w:hAnsi="Times New Roman" w:cs="Times New Roman"/>
          <w:sz w:val="24"/>
          <w:szCs w:val="24"/>
        </w:rPr>
        <w:t> </w:t>
      </w:r>
      <w:r w:rsidR="00E96BAD" w:rsidRPr="00C031EA">
        <w:rPr>
          <w:rFonts w:ascii="Times New Roman" w:hAnsi="Times New Roman" w:cs="Times New Roman"/>
          <w:sz w:val="24"/>
          <w:szCs w:val="24"/>
        </w:rPr>
        <w:t xml:space="preserve"> 152</w:t>
      </w:r>
      <w:proofErr w:type="gramEnd"/>
      <w:r w:rsidR="00E96BAD" w:rsidRPr="00C031EA">
        <w:rPr>
          <w:rFonts w:ascii="Times New Roman" w:hAnsi="Times New Roman" w:cs="Times New Roman"/>
          <w:sz w:val="24"/>
          <w:szCs w:val="24"/>
        </w:rPr>
        <w:t xml:space="preserve"> Abs. 2 StPO normierte </w:t>
      </w:r>
      <w:r w:rsidR="00890543" w:rsidRPr="00C031EA">
        <w:rPr>
          <w:rFonts w:ascii="Times New Roman" w:hAnsi="Times New Roman" w:cs="Times New Roman"/>
          <w:sz w:val="24"/>
          <w:szCs w:val="24"/>
        </w:rPr>
        <w:t>Legalitätsgrundsatz</w:t>
      </w:r>
      <w:r w:rsidR="00E96BAD" w:rsidRPr="00C031EA">
        <w:rPr>
          <w:rFonts w:ascii="Times New Roman" w:hAnsi="Times New Roman" w:cs="Times New Roman"/>
          <w:sz w:val="24"/>
          <w:szCs w:val="24"/>
        </w:rPr>
        <w:t xml:space="preserve"> </w:t>
      </w:r>
      <w:r w:rsidR="00890543" w:rsidRPr="00C031EA">
        <w:rPr>
          <w:rFonts w:ascii="Times New Roman" w:hAnsi="Times New Roman" w:cs="Times New Roman"/>
          <w:sz w:val="24"/>
          <w:szCs w:val="24"/>
        </w:rPr>
        <w:t>weist</w:t>
      </w:r>
      <w:r w:rsidR="00E96BAD" w:rsidRPr="00C031EA">
        <w:rPr>
          <w:rFonts w:ascii="Times New Roman" w:hAnsi="Times New Roman" w:cs="Times New Roman"/>
          <w:sz w:val="24"/>
          <w:szCs w:val="24"/>
        </w:rPr>
        <w:t xml:space="preserve"> den Staatsanwalt </w:t>
      </w:r>
      <w:r w:rsidR="00273A42" w:rsidRPr="00C031EA">
        <w:rPr>
          <w:rFonts w:ascii="Times New Roman" w:hAnsi="Times New Roman" w:cs="Times New Roman"/>
          <w:sz w:val="24"/>
          <w:szCs w:val="24"/>
        </w:rPr>
        <w:t xml:space="preserve">nun einmal </w:t>
      </w:r>
      <w:r w:rsidR="00E96BAD" w:rsidRPr="00C031EA">
        <w:rPr>
          <w:rFonts w:ascii="Times New Roman" w:hAnsi="Times New Roman" w:cs="Times New Roman"/>
          <w:sz w:val="24"/>
          <w:szCs w:val="24"/>
        </w:rPr>
        <w:t>an</w:t>
      </w:r>
      <w:r w:rsidR="00890543" w:rsidRPr="00C031EA">
        <w:rPr>
          <w:rFonts w:ascii="Times New Roman" w:hAnsi="Times New Roman" w:cs="Times New Roman"/>
          <w:sz w:val="24"/>
          <w:szCs w:val="24"/>
        </w:rPr>
        <w:t xml:space="preserve">, ohne Wenn und Aber </w:t>
      </w:r>
      <w:r w:rsidR="00890543" w:rsidRPr="00C031EA">
        <w:rPr>
          <w:rFonts w:ascii="Times New Roman" w:hAnsi="Times New Roman" w:cs="Times New Roman"/>
          <w:i/>
          <w:sz w:val="24"/>
          <w:szCs w:val="24"/>
        </w:rPr>
        <w:t>alle</w:t>
      </w:r>
      <w:r w:rsidR="00890543" w:rsidRPr="00C031EA">
        <w:rPr>
          <w:rFonts w:ascii="Times New Roman" w:hAnsi="Times New Roman" w:cs="Times New Roman"/>
          <w:sz w:val="24"/>
          <w:szCs w:val="24"/>
        </w:rPr>
        <w:t xml:space="preserve"> Straftaten zu verfolgen, sofern nicht </w:t>
      </w:r>
      <w:r w:rsidR="00890543" w:rsidRPr="00C031EA">
        <w:rPr>
          <w:rFonts w:ascii="Times New Roman" w:hAnsi="Times New Roman" w:cs="Times New Roman"/>
          <w:i/>
          <w:sz w:val="24"/>
          <w:szCs w:val="24"/>
        </w:rPr>
        <w:t xml:space="preserve">gesetzlich </w:t>
      </w:r>
      <w:r w:rsidR="009C1DBD" w:rsidRPr="00C031EA">
        <w:rPr>
          <w:rFonts w:ascii="Times New Roman" w:hAnsi="Times New Roman" w:cs="Times New Roman"/>
          <w:sz w:val="24"/>
          <w:szCs w:val="24"/>
        </w:rPr>
        <w:t>ein anderes bestimmt ist. Er</w:t>
      </w:r>
      <w:r w:rsidR="00890543" w:rsidRPr="00C031EA">
        <w:rPr>
          <w:rFonts w:ascii="Times New Roman" w:hAnsi="Times New Roman" w:cs="Times New Roman"/>
          <w:sz w:val="24"/>
          <w:szCs w:val="24"/>
        </w:rPr>
        <w:t xml:space="preserve"> dient </w:t>
      </w:r>
      <w:r w:rsidR="009C1DBD" w:rsidRPr="00C031EA">
        <w:rPr>
          <w:rFonts w:ascii="Times New Roman" w:hAnsi="Times New Roman" w:cs="Times New Roman"/>
          <w:sz w:val="24"/>
          <w:szCs w:val="24"/>
        </w:rPr>
        <w:t xml:space="preserve">damit </w:t>
      </w:r>
      <w:r w:rsidR="00607281" w:rsidRPr="00C031EA">
        <w:rPr>
          <w:rFonts w:ascii="Times New Roman" w:hAnsi="Times New Roman" w:cs="Times New Roman"/>
          <w:sz w:val="24"/>
          <w:szCs w:val="24"/>
        </w:rPr>
        <w:t xml:space="preserve">nicht „nur“ </w:t>
      </w:r>
      <w:r w:rsidR="00890543" w:rsidRPr="00C031EA">
        <w:rPr>
          <w:rFonts w:ascii="Times New Roman" w:hAnsi="Times New Roman" w:cs="Times New Roman"/>
          <w:sz w:val="24"/>
          <w:szCs w:val="24"/>
        </w:rPr>
        <w:t xml:space="preserve">als </w:t>
      </w:r>
      <w:r w:rsidR="00607281" w:rsidRPr="00C031EA">
        <w:rPr>
          <w:rFonts w:ascii="Times New Roman" w:hAnsi="Times New Roman" w:cs="Times New Roman"/>
          <w:sz w:val="24"/>
          <w:szCs w:val="24"/>
        </w:rPr>
        <w:t>Ausgleich zum Anklagemonopol</w:t>
      </w:r>
      <w:r w:rsidR="00EF0375">
        <w:rPr>
          <w:rFonts w:ascii="Times New Roman" w:hAnsi="Times New Roman" w:cs="Times New Roman"/>
          <w:sz w:val="24"/>
          <w:szCs w:val="24"/>
        </w:rPr>
        <w:t>.</w:t>
      </w:r>
      <w:r w:rsidR="009C1DBD" w:rsidRPr="00C031EA">
        <w:rPr>
          <w:rStyle w:val="Funotenzeichen"/>
          <w:rFonts w:ascii="Times New Roman" w:hAnsi="Times New Roman" w:cs="Times New Roman"/>
          <w:sz w:val="24"/>
          <w:szCs w:val="24"/>
        </w:rPr>
        <w:footnoteReference w:id="7"/>
      </w:r>
      <w:r w:rsidR="00607281" w:rsidRPr="00C031EA">
        <w:rPr>
          <w:rFonts w:ascii="Times New Roman" w:hAnsi="Times New Roman" w:cs="Times New Roman"/>
          <w:sz w:val="24"/>
          <w:szCs w:val="24"/>
        </w:rPr>
        <w:t xml:space="preserve"> </w:t>
      </w:r>
      <w:r w:rsidR="00EF0375">
        <w:rPr>
          <w:rFonts w:ascii="Times New Roman" w:hAnsi="Times New Roman" w:cs="Times New Roman"/>
          <w:sz w:val="24"/>
          <w:szCs w:val="24"/>
        </w:rPr>
        <w:t>Vielmehr zielt</w:t>
      </w:r>
      <w:r w:rsidR="00607281" w:rsidRPr="00C031EA">
        <w:rPr>
          <w:rFonts w:ascii="Times New Roman" w:hAnsi="Times New Roman" w:cs="Times New Roman"/>
          <w:sz w:val="24"/>
          <w:szCs w:val="24"/>
        </w:rPr>
        <w:t xml:space="preserve"> </w:t>
      </w:r>
      <w:r w:rsidR="00096D8C" w:rsidRPr="00C031EA">
        <w:rPr>
          <w:rFonts w:ascii="Times New Roman" w:hAnsi="Times New Roman" w:cs="Times New Roman"/>
          <w:sz w:val="24"/>
          <w:szCs w:val="24"/>
        </w:rPr>
        <w:t xml:space="preserve">der Legalitätsgrundsatz </w:t>
      </w:r>
      <w:r w:rsidR="00607281" w:rsidRPr="00C031EA">
        <w:rPr>
          <w:rFonts w:ascii="Times New Roman" w:hAnsi="Times New Roman" w:cs="Times New Roman"/>
          <w:sz w:val="24"/>
          <w:szCs w:val="24"/>
        </w:rPr>
        <w:t>unmittelbar auf die Gewährleistung der Strafrechtspflege</w:t>
      </w:r>
      <w:r w:rsidR="00096D8C" w:rsidRPr="00C031EA">
        <w:rPr>
          <w:rFonts w:ascii="Times New Roman" w:hAnsi="Times New Roman" w:cs="Times New Roman"/>
          <w:sz w:val="24"/>
          <w:szCs w:val="24"/>
        </w:rPr>
        <w:t xml:space="preserve">, indem er garantiert, dass </w:t>
      </w:r>
      <w:r w:rsidR="00607281" w:rsidRPr="00C031EA">
        <w:rPr>
          <w:rFonts w:ascii="Times New Roman" w:hAnsi="Times New Roman" w:cs="Times New Roman"/>
          <w:sz w:val="24"/>
          <w:szCs w:val="24"/>
        </w:rPr>
        <w:t>Gerechtigkeit und Willkürfreiheit ohne Ansehen der Person</w:t>
      </w:r>
      <w:r w:rsidR="00096D8C" w:rsidRPr="00C031EA">
        <w:rPr>
          <w:rFonts w:ascii="Times New Roman" w:hAnsi="Times New Roman" w:cs="Times New Roman"/>
          <w:sz w:val="24"/>
          <w:szCs w:val="24"/>
        </w:rPr>
        <w:t xml:space="preserve"> eingehalten werden</w:t>
      </w:r>
      <w:r w:rsidR="00607281" w:rsidRPr="00C031EA">
        <w:rPr>
          <w:rFonts w:ascii="Times New Roman" w:hAnsi="Times New Roman" w:cs="Times New Roman"/>
          <w:sz w:val="24"/>
          <w:szCs w:val="24"/>
        </w:rPr>
        <w:t>.</w:t>
      </w:r>
      <w:r w:rsidR="00096D8C" w:rsidRPr="00C031EA">
        <w:rPr>
          <w:rStyle w:val="Funotenzeichen"/>
          <w:rFonts w:ascii="Times New Roman" w:hAnsi="Times New Roman" w:cs="Times New Roman"/>
          <w:sz w:val="24"/>
          <w:szCs w:val="24"/>
        </w:rPr>
        <w:footnoteReference w:id="8"/>
      </w:r>
      <w:r w:rsidR="00890543" w:rsidRPr="00C031EA">
        <w:rPr>
          <w:rFonts w:ascii="Times New Roman" w:hAnsi="Times New Roman" w:cs="Times New Roman"/>
          <w:sz w:val="24"/>
          <w:szCs w:val="24"/>
        </w:rPr>
        <w:t xml:space="preserve"> </w:t>
      </w:r>
      <w:r w:rsidR="00C03154" w:rsidRPr="00C031EA">
        <w:rPr>
          <w:rFonts w:ascii="Times New Roman" w:hAnsi="Times New Roman" w:cs="Times New Roman"/>
          <w:sz w:val="24"/>
          <w:szCs w:val="24"/>
        </w:rPr>
        <w:t>Für eine Abwägung zwischen dem bloßen Strafverfolgungsinteresse gegenüber mutmaßlichen Bandenmitgliedern und dem konkreten staatlichen Strafverfolgungsanspruch</w:t>
      </w:r>
      <w:r w:rsidR="008D6ADB" w:rsidRPr="00C031EA">
        <w:rPr>
          <w:rFonts w:ascii="Times New Roman" w:hAnsi="Times New Roman" w:cs="Times New Roman"/>
          <w:sz w:val="24"/>
          <w:szCs w:val="24"/>
        </w:rPr>
        <w:t xml:space="preserve"> gegenüber </w:t>
      </w:r>
      <w:r w:rsidRPr="00C031EA">
        <w:rPr>
          <w:rFonts w:ascii="Times New Roman" w:hAnsi="Times New Roman" w:cs="Times New Roman"/>
          <w:sz w:val="24"/>
          <w:szCs w:val="24"/>
        </w:rPr>
        <w:t xml:space="preserve">einem </w:t>
      </w:r>
      <w:r w:rsidR="008D6ADB" w:rsidRPr="00C031EA">
        <w:rPr>
          <w:rFonts w:ascii="Times New Roman" w:hAnsi="Times New Roman" w:cs="Times New Roman"/>
          <w:sz w:val="24"/>
          <w:szCs w:val="24"/>
        </w:rPr>
        <w:t>Angeklagten</w:t>
      </w:r>
      <w:r w:rsidR="00273A42" w:rsidRPr="00C031EA">
        <w:rPr>
          <w:rFonts w:ascii="Times New Roman" w:hAnsi="Times New Roman" w:cs="Times New Roman"/>
          <w:sz w:val="24"/>
          <w:szCs w:val="24"/>
        </w:rPr>
        <w:t xml:space="preserve">, </w:t>
      </w:r>
      <w:r w:rsidR="005F4047" w:rsidRPr="00C031EA">
        <w:rPr>
          <w:rFonts w:ascii="Times New Roman" w:hAnsi="Times New Roman" w:cs="Times New Roman"/>
          <w:sz w:val="24"/>
          <w:szCs w:val="24"/>
        </w:rPr>
        <w:t>bleibt</w:t>
      </w:r>
      <w:r w:rsidR="00C03154" w:rsidRPr="00C031EA">
        <w:rPr>
          <w:rFonts w:ascii="Times New Roman" w:hAnsi="Times New Roman" w:cs="Times New Roman"/>
          <w:sz w:val="24"/>
          <w:szCs w:val="24"/>
        </w:rPr>
        <w:t xml:space="preserve"> </w:t>
      </w:r>
      <w:r w:rsidR="00273A42" w:rsidRPr="00C031EA">
        <w:rPr>
          <w:rFonts w:ascii="Times New Roman" w:hAnsi="Times New Roman" w:cs="Times New Roman"/>
          <w:sz w:val="24"/>
          <w:szCs w:val="24"/>
        </w:rPr>
        <w:t xml:space="preserve">daher </w:t>
      </w:r>
      <w:r w:rsidR="00C03154" w:rsidRPr="00C031EA">
        <w:rPr>
          <w:rFonts w:ascii="Times New Roman" w:hAnsi="Times New Roman" w:cs="Times New Roman"/>
          <w:sz w:val="24"/>
          <w:szCs w:val="24"/>
        </w:rPr>
        <w:t>kein Raum.</w:t>
      </w:r>
      <w:r w:rsidR="008D6ADB" w:rsidRPr="00C031EA">
        <w:rPr>
          <w:rFonts w:ascii="Times New Roman" w:hAnsi="Times New Roman" w:cs="Times New Roman"/>
          <w:sz w:val="24"/>
          <w:szCs w:val="24"/>
        </w:rPr>
        <w:t xml:space="preserve"> </w:t>
      </w:r>
    </w:p>
    <w:p w:rsidR="00EC00F5" w:rsidRDefault="003B7839" w:rsidP="00C031E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Dass dies einem Staatsanwalt nicht bekannt sein könnte, ist schlechterdings unvorstellbar. Ob es hingegen diesem </w:t>
      </w:r>
      <w:r w:rsidR="00273A42" w:rsidRPr="00C031EA">
        <w:rPr>
          <w:rFonts w:ascii="Times New Roman" w:hAnsi="Times New Roman" w:cs="Times New Roman"/>
          <w:sz w:val="24"/>
          <w:szCs w:val="24"/>
        </w:rPr>
        <w:t>Oberstaatsanwalt</w:t>
      </w:r>
      <w:r>
        <w:rPr>
          <w:rFonts w:ascii="Times New Roman" w:hAnsi="Times New Roman" w:cs="Times New Roman"/>
          <w:sz w:val="24"/>
          <w:szCs w:val="24"/>
        </w:rPr>
        <w:t xml:space="preserve"> in der konkreten Situation auch tatsächlich bewusst war, stünde indes tatsächlich auf einem anderen Blatt. Wobei es wiederum noch eine ganz andere Frage wäre, ob ein solch fehlendes Bewusstsein bereits den objektiven oder erst den subjektiven Tatbestand der Rechtsbeugung entfallen oder nur einen Verbotsirrtum annehmen lässt. Doch </w:t>
      </w:r>
      <w:r>
        <w:rPr>
          <w:rFonts w:ascii="Times New Roman" w:hAnsi="Times New Roman" w:cs="Times New Roman"/>
          <w:sz w:val="24"/>
          <w:szCs w:val="24"/>
        </w:rPr>
        <w:lastRenderedPageBreak/>
        <w:t>um all dies geht es hier überhaupt nicht. Denn die</w:t>
      </w:r>
      <w:r w:rsidR="005B447C" w:rsidRPr="00C031EA">
        <w:rPr>
          <w:rFonts w:ascii="Times New Roman" w:hAnsi="Times New Roman" w:cs="Times New Roman"/>
          <w:sz w:val="24"/>
          <w:szCs w:val="24"/>
        </w:rPr>
        <w:t xml:space="preserve"> mit den Ermittlungen </w:t>
      </w:r>
      <w:r>
        <w:rPr>
          <w:rFonts w:ascii="Times New Roman" w:hAnsi="Times New Roman" w:cs="Times New Roman"/>
          <w:sz w:val="24"/>
          <w:szCs w:val="24"/>
        </w:rPr>
        <w:t xml:space="preserve">wegen des Verdachts der Rechtsbeugung </w:t>
      </w:r>
      <w:r w:rsidR="005B447C" w:rsidRPr="00C031EA">
        <w:rPr>
          <w:rFonts w:ascii="Times New Roman" w:hAnsi="Times New Roman" w:cs="Times New Roman"/>
          <w:sz w:val="24"/>
          <w:szCs w:val="24"/>
        </w:rPr>
        <w:t xml:space="preserve">betraute Oberstaatsanwältin </w:t>
      </w:r>
      <w:r w:rsidR="00EC00F5">
        <w:rPr>
          <w:rFonts w:ascii="Times New Roman" w:hAnsi="Times New Roman" w:cs="Times New Roman"/>
          <w:sz w:val="24"/>
          <w:szCs w:val="24"/>
        </w:rPr>
        <w:t xml:space="preserve">hat das Verfahren ja nicht deshalb eingestellt, weil ihrem Kollegen die tiefere Bedeutung des Legalitätsgrundsatzes nicht </w:t>
      </w:r>
      <w:r w:rsidR="002B7F60" w:rsidRPr="00C031EA">
        <w:rPr>
          <w:rFonts w:ascii="Times New Roman" w:hAnsi="Times New Roman" w:cs="Times New Roman"/>
          <w:sz w:val="24"/>
          <w:szCs w:val="24"/>
        </w:rPr>
        <w:t>bewusst gewesen</w:t>
      </w:r>
      <w:r w:rsidR="00EC00F5">
        <w:rPr>
          <w:rFonts w:ascii="Times New Roman" w:hAnsi="Times New Roman" w:cs="Times New Roman"/>
          <w:sz w:val="24"/>
          <w:szCs w:val="24"/>
        </w:rPr>
        <w:t xml:space="preserve"> sei. Vielmehr hat sie die Rechtsbeugung, auf welcher Ebene des Unrechtsaufbaus auch immer, verneint, weil dem Oberstaatsanwalt nicht bewusst gewesen sei</w:t>
      </w:r>
      <w:r w:rsidR="002B7F60" w:rsidRPr="00C031EA">
        <w:rPr>
          <w:rFonts w:ascii="Times New Roman" w:hAnsi="Times New Roman" w:cs="Times New Roman"/>
          <w:sz w:val="24"/>
          <w:szCs w:val="24"/>
        </w:rPr>
        <w:t>, dass das Erheben einer unvollständigen Anklage rechtlich zu beanstanden i</w:t>
      </w:r>
      <w:r w:rsidR="00EC00F5">
        <w:rPr>
          <w:rFonts w:ascii="Times New Roman" w:hAnsi="Times New Roman" w:cs="Times New Roman"/>
          <w:sz w:val="24"/>
          <w:szCs w:val="24"/>
        </w:rPr>
        <w:t>st</w:t>
      </w:r>
      <w:r w:rsidR="001C0AC3" w:rsidRPr="00C031EA">
        <w:rPr>
          <w:rFonts w:ascii="Times New Roman" w:hAnsi="Times New Roman" w:cs="Times New Roman"/>
          <w:sz w:val="24"/>
          <w:szCs w:val="24"/>
        </w:rPr>
        <w:t xml:space="preserve">. </w:t>
      </w:r>
      <w:r w:rsidR="00C82E1A" w:rsidRPr="00C031EA">
        <w:rPr>
          <w:rFonts w:ascii="Times New Roman" w:hAnsi="Times New Roman" w:cs="Times New Roman"/>
          <w:sz w:val="24"/>
          <w:szCs w:val="24"/>
        </w:rPr>
        <w:t xml:space="preserve">Das ist </w:t>
      </w:r>
      <w:r w:rsidR="00EC00F5">
        <w:rPr>
          <w:rFonts w:ascii="Times New Roman" w:hAnsi="Times New Roman" w:cs="Times New Roman"/>
          <w:sz w:val="24"/>
          <w:szCs w:val="24"/>
        </w:rPr>
        <w:t>im doppelten Sinne</w:t>
      </w:r>
      <w:r w:rsidR="00C82E1A" w:rsidRPr="00C031EA">
        <w:rPr>
          <w:rFonts w:ascii="Times New Roman" w:hAnsi="Times New Roman" w:cs="Times New Roman"/>
          <w:sz w:val="24"/>
          <w:szCs w:val="24"/>
        </w:rPr>
        <w:t xml:space="preserve"> des Wortes unglaublich. </w:t>
      </w:r>
      <w:r w:rsidR="009A0FC1" w:rsidRPr="00C031EA">
        <w:rPr>
          <w:rFonts w:ascii="Times New Roman" w:hAnsi="Times New Roman" w:cs="Times New Roman"/>
          <w:sz w:val="24"/>
          <w:szCs w:val="24"/>
        </w:rPr>
        <w:t xml:space="preserve">Nur: Es </w:t>
      </w:r>
      <w:r w:rsidR="00C82E1A" w:rsidRPr="00C031EA">
        <w:rPr>
          <w:rFonts w:ascii="Times New Roman" w:hAnsi="Times New Roman" w:cs="Times New Roman"/>
          <w:sz w:val="24"/>
          <w:szCs w:val="24"/>
        </w:rPr>
        <w:t xml:space="preserve">wäre </w:t>
      </w:r>
      <w:r w:rsidR="009A0FC1" w:rsidRPr="00C031EA">
        <w:rPr>
          <w:rFonts w:ascii="Times New Roman" w:hAnsi="Times New Roman" w:cs="Times New Roman"/>
          <w:sz w:val="24"/>
          <w:szCs w:val="24"/>
        </w:rPr>
        <w:t>auch nicht besser, wenn es stimmte. Denn nur w</w:t>
      </w:r>
      <w:r w:rsidR="00C82E1A" w:rsidRPr="00C031EA">
        <w:rPr>
          <w:rFonts w:ascii="Times New Roman" w:hAnsi="Times New Roman" w:cs="Times New Roman"/>
          <w:sz w:val="24"/>
          <w:szCs w:val="24"/>
        </w:rPr>
        <w:t xml:space="preserve">enn ein Staatsanwalt das Legalitätsprinzip vorsätzlich verletzt, kann (und muss) er dafür zur Verantwortung gezogen werden. – Wenn er sich </w:t>
      </w:r>
      <w:r w:rsidR="009A0FC1" w:rsidRPr="00C031EA">
        <w:rPr>
          <w:rFonts w:ascii="Times New Roman" w:hAnsi="Times New Roman" w:cs="Times New Roman"/>
          <w:sz w:val="24"/>
          <w:szCs w:val="24"/>
        </w:rPr>
        <w:t xml:space="preserve">hingegen </w:t>
      </w:r>
      <w:r w:rsidR="00C82E1A" w:rsidRPr="00C031EA">
        <w:rPr>
          <w:rFonts w:ascii="Times New Roman" w:hAnsi="Times New Roman" w:cs="Times New Roman"/>
          <w:sz w:val="24"/>
          <w:szCs w:val="24"/>
        </w:rPr>
        <w:t xml:space="preserve">seiner Pflichten und folglich auch deren Verletzung angeblich oder tatsächlich nicht einmal „bewusst“ ist, </w:t>
      </w:r>
      <w:r w:rsidR="009A0FC1" w:rsidRPr="00C031EA">
        <w:rPr>
          <w:rFonts w:ascii="Times New Roman" w:hAnsi="Times New Roman" w:cs="Times New Roman"/>
          <w:sz w:val="24"/>
          <w:szCs w:val="24"/>
        </w:rPr>
        <w:t xml:space="preserve">ist dies </w:t>
      </w:r>
      <w:r w:rsidR="00EC00F5">
        <w:rPr>
          <w:rFonts w:ascii="Times New Roman" w:hAnsi="Times New Roman" w:cs="Times New Roman"/>
          <w:sz w:val="24"/>
          <w:szCs w:val="24"/>
        </w:rPr>
        <w:t>buchstäblich klaglos</w:t>
      </w:r>
      <w:r w:rsidR="009A0FC1" w:rsidRPr="00C031EA">
        <w:rPr>
          <w:rFonts w:ascii="Times New Roman" w:hAnsi="Times New Roman" w:cs="Times New Roman"/>
          <w:sz w:val="24"/>
          <w:szCs w:val="24"/>
        </w:rPr>
        <w:t xml:space="preserve"> hinzunehmen. Der </w:t>
      </w:r>
      <w:r w:rsidR="002B7F60" w:rsidRPr="00C031EA">
        <w:rPr>
          <w:rFonts w:ascii="Times New Roman" w:hAnsi="Times New Roman" w:cs="Times New Roman"/>
          <w:sz w:val="24"/>
          <w:szCs w:val="24"/>
        </w:rPr>
        <w:t xml:space="preserve">Weg ins Klageerzwingungsverfahren ist </w:t>
      </w:r>
      <w:r w:rsidR="009A0FC1" w:rsidRPr="00C031EA">
        <w:rPr>
          <w:rFonts w:ascii="Times New Roman" w:hAnsi="Times New Roman" w:cs="Times New Roman"/>
          <w:sz w:val="24"/>
          <w:szCs w:val="24"/>
        </w:rPr>
        <w:t xml:space="preserve">gegen die Einstellungsverfügung jedenfalls </w:t>
      </w:r>
      <w:r w:rsidR="002B7F60" w:rsidRPr="00C031EA">
        <w:rPr>
          <w:rFonts w:ascii="Times New Roman" w:hAnsi="Times New Roman" w:cs="Times New Roman"/>
          <w:sz w:val="24"/>
          <w:szCs w:val="24"/>
        </w:rPr>
        <w:t>nicht eröffnet</w:t>
      </w:r>
      <w:r w:rsidR="00EC00F5">
        <w:rPr>
          <w:rFonts w:ascii="Times New Roman" w:hAnsi="Times New Roman" w:cs="Times New Roman"/>
          <w:sz w:val="24"/>
          <w:szCs w:val="24"/>
        </w:rPr>
        <w:t xml:space="preserve">. Es fehlt </w:t>
      </w:r>
      <w:r w:rsidR="00961CE1" w:rsidRPr="00C031EA">
        <w:rPr>
          <w:rFonts w:ascii="Times New Roman" w:hAnsi="Times New Roman" w:cs="Times New Roman"/>
          <w:sz w:val="24"/>
          <w:szCs w:val="24"/>
        </w:rPr>
        <w:t>schon</w:t>
      </w:r>
      <w:r w:rsidR="002B7F60" w:rsidRPr="00C031EA">
        <w:rPr>
          <w:rFonts w:ascii="Times New Roman" w:hAnsi="Times New Roman" w:cs="Times New Roman"/>
          <w:sz w:val="24"/>
          <w:szCs w:val="24"/>
        </w:rPr>
        <w:t xml:space="preserve"> an einem antragsbefugten Verletzten i.S. des § 172 </w:t>
      </w:r>
      <w:r w:rsidR="00EC00F5">
        <w:rPr>
          <w:rFonts w:ascii="Times New Roman" w:hAnsi="Times New Roman" w:cs="Times New Roman"/>
          <w:sz w:val="24"/>
          <w:szCs w:val="24"/>
        </w:rPr>
        <w:t>StPO</w:t>
      </w:r>
      <w:r w:rsidR="002B7F60" w:rsidRPr="00C031EA">
        <w:rPr>
          <w:rFonts w:ascii="Times New Roman" w:hAnsi="Times New Roman" w:cs="Times New Roman"/>
          <w:sz w:val="24"/>
          <w:szCs w:val="24"/>
        </w:rPr>
        <w:t xml:space="preserve">. </w:t>
      </w:r>
      <w:r w:rsidR="00EC00F5">
        <w:rPr>
          <w:rFonts w:ascii="Times New Roman" w:hAnsi="Times New Roman" w:cs="Times New Roman"/>
          <w:sz w:val="24"/>
          <w:szCs w:val="24"/>
        </w:rPr>
        <w:t>B</w:t>
      </w:r>
      <w:r w:rsidR="002B7F60" w:rsidRPr="00C031EA">
        <w:rPr>
          <w:rFonts w:ascii="Times New Roman" w:hAnsi="Times New Roman" w:cs="Times New Roman"/>
          <w:sz w:val="24"/>
          <w:szCs w:val="24"/>
        </w:rPr>
        <w:t xml:space="preserve">ei Rechtspflegedelikten </w:t>
      </w:r>
      <w:r w:rsidR="00EC00F5">
        <w:rPr>
          <w:rFonts w:ascii="Times New Roman" w:hAnsi="Times New Roman" w:cs="Times New Roman"/>
          <w:sz w:val="24"/>
          <w:szCs w:val="24"/>
        </w:rPr>
        <w:t xml:space="preserve">sind dies nämlich </w:t>
      </w:r>
      <w:r w:rsidR="002B7F60" w:rsidRPr="00C031EA">
        <w:rPr>
          <w:rFonts w:ascii="Times New Roman" w:hAnsi="Times New Roman" w:cs="Times New Roman"/>
          <w:sz w:val="24"/>
          <w:szCs w:val="24"/>
        </w:rPr>
        <w:t>nur diejenigen Verfahrensbeteiligten, zu deren Nachteil die Tat begangen wurde.</w:t>
      </w:r>
      <w:r w:rsidR="002B7F60" w:rsidRPr="00C031EA">
        <w:rPr>
          <w:rStyle w:val="Funotenzeichen"/>
          <w:rFonts w:ascii="Times New Roman" w:hAnsi="Times New Roman" w:cs="Times New Roman"/>
          <w:sz w:val="24"/>
          <w:szCs w:val="24"/>
        </w:rPr>
        <w:footnoteReference w:id="9"/>
      </w:r>
      <w:r w:rsidR="002B7F60" w:rsidRPr="00C031EA">
        <w:rPr>
          <w:rFonts w:ascii="Times New Roman" w:hAnsi="Times New Roman" w:cs="Times New Roman"/>
          <w:sz w:val="24"/>
          <w:szCs w:val="24"/>
        </w:rPr>
        <w:t xml:space="preserve"> </w:t>
      </w:r>
      <w:r w:rsidR="00EC00F5">
        <w:rPr>
          <w:rFonts w:ascii="Times New Roman" w:hAnsi="Times New Roman" w:cs="Times New Roman"/>
          <w:sz w:val="24"/>
          <w:szCs w:val="24"/>
        </w:rPr>
        <w:t xml:space="preserve">Weil sich die falsche Anklage aber gerade zugunsten und nicht zuungunsten des </w:t>
      </w:r>
      <w:r w:rsidR="002B7F60" w:rsidRPr="00C031EA">
        <w:rPr>
          <w:rFonts w:ascii="Times New Roman" w:hAnsi="Times New Roman" w:cs="Times New Roman"/>
          <w:sz w:val="24"/>
          <w:szCs w:val="24"/>
        </w:rPr>
        <w:t>Angeklagte</w:t>
      </w:r>
      <w:r w:rsidR="00EC00F5">
        <w:rPr>
          <w:rFonts w:ascii="Times New Roman" w:hAnsi="Times New Roman" w:cs="Times New Roman"/>
          <w:sz w:val="24"/>
          <w:szCs w:val="24"/>
        </w:rPr>
        <w:t xml:space="preserve">n ausgewirkt hat, </w:t>
      </w:r>
      <w:r w:rsidR="002B7F60" w:rsidRPr="00C031EA">
        <w:rPr>
          <w:rFonts w:ascii="Times New Roman" w:hAnsi="Times New Roman" w:cs="Times New Roman"/>
          <w:sz w:val="24"/>
          <w:szCs w:val="24"/>
        </w:rPr>
        <w:t xml:space="preserve">scheidet </w:t>
      </w:r>
      <w:r w:rsidR="00EC00F5">
        <w:rPr>
          <w:rFonts w:ascii="Times New Roman" w:hAnsi="Times New Roman" w:cs="Times New Roman"/>
          <w:sz w:val="24"/>
          <w:szCs w:val="24"/>
        </w:rPr>
        <w:t xml:space="preserve">der als Antragsberechtigter aus. </w:t>
      </w:r>
      <w:r w:rsidR="00026594" w:rsidRPr="00C031EA">
        <w:rPr>
          <w:rFonts w:ascii="Times New Roman" w:hAnsi="Times New Roman" w:cs="Times New Roman"/>
          <w:sz w:val="24"/>
          <w:szCs w:val="24"/>
        </w:rPr>
        <w:t xml:space="preserve">Und die Allgemeinheit </w:t>
      </w:r>
      <w:r w:rsidR="000365EE" w:rsidRPr="00C031EA">
        <w:rPr>
          <w:rFonts w:ascii="Times New Roman" w:hAnsi="Times New Roman" w:cs="Times New Roman"/>
          <w:sz w:val="24"/>
          <w:szCs w:val="24"/>
        </w:rPr>
        <w:t xml:space="preserve">ist generell </w:t>
      </w:r>
      <w:r w:rsidR="0090473E" w:rsidRPr="00C031EA">
        <w:rPr>
          <w:rFonts w:ascii="Times New Roman" w:hAnsi="Times New Roman" w:cs="Times New Roman"/>
          <w:sz w:val="24"/>
          <w:szCs w:val="24"/>
        </w:rPr>
        <w:t xml:space="preserve">keine </w:t>
      </w:r>
      <w:r w:rsidR="000365EE" w:rsidRPr="00C031EA">
        <w:rPr>
          <w:rFonts w:ascii="Times New Roman" w:hAnsi="Times New Roman" w:cs="Times New Roman"/>
          <w:sz w:val="24"/>
          <w:szCs w:val="24"/>
        </w:rPr>
        <w:t>Verfahrensbeteiligte</w:t>
      </w:r>
      <w:r w:rsidR="00026594" w:rsidRPr="00C031EA">
        <w:rPr>
          <w:rFonts w:ascii="Times New Roman" w:hAnsi="Times New Roman" w:cs="Times New Roman"/>
          <w:sz w:val="24"/>
          <w:szCs w:val="24"/>
        </w:rPr>
        <w:t>.</w:t>
      </w:r>
      <w:r w:rsidR="009874BF" w:rsidRPr="00C031EA">
        <w:rPr>
          <w:rFonts w:ascii="Times New Roman" w:hAnsi="Times New Roman" w:cs="Times New Roman"/>
          <w:sz w:val="24"/>
          <w:szCs w:val="24"/>
        </w:rPr>
        <w:t xml:space="preserve"> </w:t>
      </w:r>
      <w:r w:rsidR="00EC00F5">
        <w:rPr>
          <w:rFonts w:ascii="Times New Roman" w:hAnsi="Times New Roman" w:cs="Times New Roman"/>
          <w:sz w:val="24"/>
          <w:szCs w:val="24"/>
        </w:rPr>
        <w:t>- M</w:t>
      </w:r>
      <w:r w:rsidR="0090473E" w:rsidRPr="00C031EA">
        <w:rPr>
          <w:rFonts w:ascii="Times New Roman" w:hAnsi="Times New Roman" w:cs="Times New Roman"/>
          <w:sz w:val="24"/>
          <w:szCs w:val="24"/>
        </w:rPr>
        <w:t xml:space="preserve">it der Verfolgung des </w:t>
      </w:r>
      <w:r w:rsidR="00B17F35" w:rsidRPr="00C031EA">
        <w:rPr>
          <w:rFonts w:ascii="Times New Roman" w:hAnsi="Times New Roman" w:cs="Times New Roman"/>
          <w:sz w:val="24"/>
          <w:szCs w:val="24"/>
        </w:rPr>
        <w:t>staatlichen</w:t>
      </w:r>
      <w:r w:rsidR="0090473E" w:rsidRPr="00C031EA">
        <w:rPr>
          <w:rFonts w:ascii="Times New Roman" w:hAnsi="Times New Roman" w:cs="Times New Roman"/>
          <w:sz w:val="24"/>
          <w:szCs w:val="24"/>
        </w:rPr>
        <w:t xml:space="preserve"> Strafanspruchs </w:t>
      </w:r>
      <w:r w:rsidR="00B17F35" w:rsidRPr="00C031EA">
        <w:rPr>
          <w:rFonts w:ascii="Times New Roman" w:hAnsi="Times New Roman" w:cs="Times New Roman"/>
          <w:sz w:val="24"/>
          <w:szCs w:val="24"/>
        </w:rPr>
        <w:t xml:space="preserve">zur Wahrung des öffentlichen Interesses </w:t>
      </w:r>
      <w:r w:rsidR="00EC00F5">
        <w:rPr>
          <w:rFonts w:ascii="Times New Roman" w:hAnsi="Times New Roman" w:cs="Times New Roman"/>
          <w:sz w:val="24"/>
          <w:szCs w:val="24"/>
        </w:rPr>
        <w:t>ist</w:t>
      </w:r>
      <w:r w:rsidR="0090473E" w:rsidRPr="00C031EA">
        <w:rPr>
          <w:rFonts w:ascii="Times New Roman" w:hAnsi="Times New Roman" w:cs="Times New Roman"/>
          <w:sz w:val="24"/>
          <w:szCs w:val="24"/>
        </w:rPr>
        <w:t xml:space="preserve"> die Staatsanwaltschaft betrau</w:t>
      </w:r>
      <w:r w:rsidR="00B17F35" w:rsidRPr="00C031EA">
        <w:rPr>
          <w:rFonts w:ascii="Times New Roman" w:hAnsi="Times New Roman" w:cs="Times New Roman"/>
          <w:sz w:val="24"/>
          <w:szCs w:val="24"/>
        </w:rPr>
        <w:t>t</w:t>
      </w:r>
      <w:r w:rsidR="000365EE" w:rsidRPr="00C031EA">
        <w:rPr>
          <w:rFonts w:ascii="Times New Roman" w:hAnsi="Times New Roman" w:cs="Times New Roman"/>
          <w:sz w:val="24"/>
          <w:szCs w:val="24"/>
        </w:rPr>
        <w:t xml:space="preserve">. </w:t>
      </w:r>
    </w:p>
    <w:p w:rsidR="00EC00F5" w:rsidRPr="00EC00F5" w:rsidRDefault="00EC00F5" w:rsidP="00EC00F5">
      <w:pPr>
        <w:spacing w:before="240" w:after="0" w:line="360" w:lineRule="auto"/>
        <w:jc w:val="center"/>
        <w:rPr>
          <w:rFonts w:ascii="Times New Roman" w:hAnsi="Times New Roman" w:cs="Times New Roman"/>
          <w:i/>
          <w:sz w:val="24"/>
          <w:szCs w:val="24"/>
        </w:rPr>
      </w:pPr>
      <w:proofErr w:type="spellStart"/>
      <w:r w:rsidRPr="00EC00F5">
        <w:rPr>
          <w:rFonts w:ascii="Times New Roman" w:hAnsi="Times New Roman" w:cs="Times New Roman"/>
          <w:i/>
          <w:sz w:val="24"/>
          <w:szCs w:val="24"/>
          <w:highlight w:val="lightGray"/>
        </w:rPr>
        <w:t>StraFo</w:t>
      </w:r>
      <w:proofErr w:type="spellEnd"/>
      <w:r w:rsidRPr="00EC00F5">
        <w:rPr>
          <w:rFonts w:ascii="Times New Roman" w:hAnsi="Times New Roman" w:cs="Times New Roman"/>
          <w:i/>
          <w:sz w:val="24"/>
          <w:szCs w:val="24"/>
          <w:highlight w:val="lightGray"/>
        </w:rPr>
        <w:t xml:space="preserve"> 2013, 438</w:t>
      </w:r>
    </w:p>
    <w:p w:rsidR="00026EA5" w:rsidRDefault="00EC00F5" w:rsidP="00026EA5">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 die Staatsanwaltschaft </w:t>
      </w:r>
      <w:r w:rsidR="00B17F35" w:rsidRPr="00C031EA">
        <w:rPr>
          <w:rFonts w:ascii="Times New Roman" w:hAnsi="Times New Roman" w:cs="Times New Roman"/>
          <w:sz w:val="24"/>
          <w:szCs w:val="24"/>
        </w:rPr>
        <w:t>gem. § 147 GVG der Dienstaufsicht</w:t>
      </w:r>
      <w:r>
        <w:rPr>
          <w:rFonts w:ascii="Times New Roman" w:hAnsi="Times New Roman" w:cs="Times New Roman"/>
          <w:sz w:val="24"/>
          <w:szCs w:val="24"/>
        </w:rPr>
        <w:t xml:space="preserve"> unterliegt, wird letzten Endes auch </w:t>
      </w:r>
      <w:r w:rsidR="009874BF" w:rsidRPr="00C031EA">
        <w:rPr>
          <w:rFonts w:ascii="Times New Roman" w:hAnsi="Times New Roman" w:cs="Times New Roman"/>
          <w:sz w:val="24"/>
          <w:szCs w:val="24"/>
        </w:rPr>
        <w:t>die</w:t>
      </w:r>
      <w:r w:rsidR="00961CE1" w:rsidRPr="00C031EA">
        <w:rPr>
          <w:rFonts w:ascii="Times New Roman" w:hAnsi="Times New Roman" w:cs="Times New Roman"/>
          <w:sz w:val="24"/>
          <w:szCs w:val="24"/>
        </w:rPr>
        <w:t xml:space="preserve"> </w:t>
      </w:r>
      <w:r w:rsidR="002B7F60" w:rsidRPr="00C031EA">
        <w:rPr>
          <w:rFonts w:ascii="Times New Roman" w:hAnsi="Times New Roman" w:cs="Times New Roman"/>
          <w:sz w:val="24"/>
          <w:szCs w:val="24"/>
        </w:rPr>
        <w:t xml:space="preserve">Generalstaatsanwaltschaft Oldenburg </w:t>
      </w:r>
      <w:r w:rsidR="009874BF" w:rsidRPr="00C031EA">
        <w:rPr>
          <w:rFonts w:ascii="Times New Roman" w:hAnsi="Times New Roman" w:cs="Times New Roman"/>
          <w:sz w:val="24"/>
          <w:szCs w:val="24"/>
        </w:rPr>
        <w:t>mit</w:t>
      </w:r>
      <w:r w:rsidR="00B25A6B" w:rsidRPr="00C031EA">
        <w:rPr>
          <w:rFonts w:ascii="Times New Roman" w:hAnsi="Times New Roman" w:cs="Times New Roman"/>
          <w:sz w:val="24"/>
          <w:szCs w:val="24"/>
        </w:rPr>
        <w:t xml:space="preserve"> </w:t>
      </w:r>
      <w:r w:rsidR="009874BF" w:rsidRPr="00C031EA">
        <w:rPr>
          <w:rFonts w:ascii="Times New Roman" w:hAnsi="Times New Roman" w:cs="Times New Roman"/>
          <w:sz w:val="24"/>
          <w:szCs w:val="24"/>
        </w:rPr>
        <w:t>der Sache befasst.</w:t>
      </w:r>
      <w:r w:rsidR="00B25A6B" w:rsidRPr="00C031EA">
        <w:rPr>
          <w:rFonts w:ascii="Times New Roman" w:hAnsi="Times New Roman" w:cs="Times New Roman"/>
          <w:sz w:val="24"/>
          <w:szCs w:val="24"/>
        </w:rPr>
        <w:t xml:space="preserve"> </w:t>
      </w:r>
      <w:r>
        <w:rPr>
          <w:rFonts w:ascii="Times New Roman" w:hAnsi="Times New Roman" w:cs="Times New Roman"/>
          <w:sz w:val="24"/>
          <w:szCs w:val="24"/>
        </w:rPr>
        <w:t>Die</w:t>
      </w:r>
      <w:r w:rsidR="00B25A6B" w:rsidRPr="00C031EA">
        <w:rPr>
          <w:rFonts w:ascii="Times New Roman" w:hAnsi="Times New Roman" w:cs="Times New Roman"/>
          <w:sz w:val="24"/>
          <w:szCs w:val="24"/>
        </w:rPr>
        <w:t xml:space="preserve"> stellt </w:t>
      </w:r>
      <w:r>
        <w:rPr>
          <w:rFonts w:ascii="Times New Roman" w:hAnsi="Times New Roman" w:cs="Times New Roman"/>
          <w:sz w:val="24"/>
          <w:szCs w:val="24"/>
        </w:rPr>
        <w:t xml:space="preserve">nun endlich </w:t>
      </w:r>
      <w:r w:rsidR="00B25A6B" w:rsidRPr="00C031EA">
        <w:rPr>
          <w:rFonts w:ascii="Times New Roman" w:hAnsi="Times New Roman" w:cs="Times New Roman"/>
          <w:sz w:val="24"/>
          <w:szCs w:val="24"/>
        </w:rPr>
        <w:t>fest</w:t>
      </w:r>
      <w:r w:rsidR="002B7F60" w:rsidRPr="00C031EA">
        <w:rPr>
          <w:rFonts w:ascii="Times New Roman" w:hAnsi="Times New Roman" w:cs="Times New Roman"/>
          <w:sz w:val="24"/>
          <w:szCs w:val="24"/>
        </w:rPr>
        <w:t xml:space="preserve">, </w:t>
      </w:r>
      <w:r w:rsidR="006C32CC" w:rsidRPr="00C031EA">
        <w:rPr>
          <w:rFonts w:ascii="Times New Roman" w:hAnsi="Times New Roman" w:cs="Times New Roman"/>
          <w:sz w:val="24"/>
          <w:szCs w:val="24"/>
        </w:rPr>
        <w:t xml:space="preserve">was </w:t>
      </w:r>
      <w:r w:rsidR="00B17F35" w:rsidRPr="00C031EA">
        <w:rPr>
          <w:rFonts w:ascii="Times New Roman" w:hAnsi="Times New Roman" w:cs="Times New Roman"/>
          <w:sz w:val="24"/>
          <w:szCs w:val="24"/>
        </w:rPr>
        <w:t xml:space="preserve">ohnehin </w:t>
      </w:r>
      <w:r w:rsidR="006C32CC" w:rsidRPr="00C031EA">
        <w:rPr>
          <w:rFonts w:ascii="Times New Roman" w:hAnsi="Times New Roman" w:cs="Times New Roman"/>
          <w:sz w:val="24"/>
          <w:szCs w:val="24"/>
        </w:rPr>
        <w:t xml:space="preserve">offenkundig </w:t>
      </w:r>
      <w:r w:rsidR="00B25A6B" w:rsidRPr="00C031EA">
        <w:rPr>
          <w:rFonts w:ascii="Times New Roman" w:hAnsi="Times New Roman" w:cs="Times New Roman"/>
          <w:sz w:val="24"/>
          <w:szCs w:val="24"/>
        </w:rPr>
        <w:t>ist</w:t>
      </w:r>
      <w:r w:rsidR="006C32CC" w:rsidRPr="00C031EA">
        <w:rPr>
          <w:rFonts w:ascii="Times New Roman" w:hAnsi="Times New Roman" w:cs="Times New Roman"/>
          <w:sz w:val="24"/>
          <w:szCs w:val="24"/>
        </w:rPr>
        <w:t xml:space="preserve">, dass nämlich </w:t>
      </w:r>
      <w:r w:rsidR="006C32CC" w:rsidRPr="00C031EA">
        <w:rPr>
          <w:rFonts w:ascii="Times New Roman" w:hAnsi="Times New Roman" w:cs="Times New Roman"/>
          <w:i/>
          <w:sz w:val="24"/>
          <w:szCs w:val="24"/>
        </w:rPr>
        <w:t xml:space="preserve">„eine Anklageerhebung, die sich bewusst auf einen nicht zutreffenden Sachverhalt stützt, rechtlich </w:t>
      </w:r>
      <w:r w:rsidR="00A02680" w:rsidRPr="00C031EA">
        <w:rPr>
          <w:rFonts w:ascii="Times New Roman" w:hAnsi="Times New Roman" w:cs="Times New Roman"/>
          <w:i/>
          <w:sz w:val="24"/>
          <w:szCs w:val="24"/>
        </w:rPr>
        <w:t xml:space="preserve">in groben Maße fehlerhaft (ist)“ </w:t>
      </w:r>
      <w:r w:rsidR="00B25A6B" w:rsidRPr="00C031EA">
        <w:rPr>
          <w:rFonts w:ascii="Times New Roman" w:hAnsi="Times New Roman" w:cs="Times New Roman"/>
          <w:sz w:val="24"/>
          <w:szCs w:val="24"/>
        </w:rPr>
        <w:t>und dies auch dann gilt</w:t>
      </w:r>
      <w:r>
        <w:rPr>
          <w:rFonts w:ascii="Times New Roman" w:hAnsi="Times New Roman" w:cs="Times New Roman"/>
          <w:sz w:val="24"/>
          <w:szCs w:val="24"/>
        </w:rPr>
        <w:t>,</w:t>
      </w:r>
      <w:r w:rsidR="00A02680" w:rsidRPr="00C031EA">
        <w:rPr>
          <w:rFonts w:ascii="Times New Roman" w:hAnsi="Times New Roman" w:cs="Times New Roman"/>
          <w:sz w:val="24"/>
          <w:szCs w:val="24"/>
        </w:rPr>
        <w:t xml:space="preserve"> „</w:t>
      </w:r>
      <w:r w:rsidR="006C32CC" w:rsidRPr="00C031EA">
        <w:rPr>
          <w:rFonts w:ascii="Times New Roman" w:hAnsi="Times New Roman" w:cs="Times New Roman"/>
          <w:i/>
          <w:sz w:val="24"/>
          <w:szCs w:val="24"/>
        </w:rPr>
        <w:t>wenn sich die Sachverhaltsverfälschung letztlich zugunsten des Angeklagten auswirkt“</w:t>
      </w:r>
      <w:r>
        <w:rPr>
          <w:rFonts w:ascii="Times New Roman" w:hAnsi="Times New Roman" w:cs="Times New Roman"/>
          <w:i/>
          <w:sz w:val="24"/>
          <w:szCs w:val="24"/>
        </w:rPr>
        <w:t>.</w:t>
      </w:r>
      <w:r w:rsidR="00B17F35" w:rsidRPr="00C031EA">
        <w:rPr>
          <w:rFonts w:ascii="Times New Roman" w:hAnsi="Times New Roman" w:cs="Times New Roman"/>
          <w:sz w:val="24"/>
          <w:szCs w:val="24"/>
        </w:rPr>
        <w:t xml:space="preserve"> </w:t>
      </w:r>
      <w:r>
        <w:rPr>
          <w:rFonts w:ascii="Times New Roman" w:hAnsi="Times New Roman" w:cs="Times New Roman"/>
          <w:sz w:val="24"/>
          <w:szCs w:val="24"/>
        </w:rPr>
        <w:t>Doch o</w:t>
      </w:r>
      <w:r w:rsidR="00B25A6B" w:rsidRPr="00C031EA">
        <w:rPr>
          <w:rFonts w:ascii="Times New Roman" w:hAnsi="Times New Roman" w:cs="Times New Roman"/>
          <w:sz w:val="24"/>
          <w:szCs w:val="24"/>
        </w:rPr>
        <w:t xml:space="preserve">bwohl oder vielleicht vielmehr </w:t>
      </w:r>
      <w:proofErr w:type="gramStart"/>
      <w:r w:rsidR="00B25A6B" w:rsidRPr="00C031EA">
        <w:rPr>
          <w:rFonts w:ascii="Times New Roman" w:hAnsi="Times New Roman" w:cs="Times New Roman"/>
          <w:sz w:val="24"/>
          <w:szCs w:val="24"/>
        </w:rPr>
        <w:t>gerade</w:t>
      </w:r>
      <w:proofErr w:type="gramEnd"/>
      <w:r w:rsidR="00B25A6B" w:rsidRPr="00C031EA">
        <w:rPr>
          <w:rFonts w:ascii="Times New Roman" w:hAnsi="Times New Roman" w:cs="Times New Roman"/>
          <w:sz w:val="24"/>
          <w:szCs w:val="24"/>
        </w:rPr>
        <w:t xml:space="preserve"> weil </w:t>
      </w:r>
      <w:r w:rsidR="000365EE" w:rsidRPr="00C031EA">
        <w:rPr>
          <w:rFonts w:ascii="Times New Roman" w:hAnsi="Times New Roman" w:cs="Times New Roman"/>
          <w:sz w:val="24"/>
          <w:szCs w:val="24"/>
        </w:rPr>
        <w:t xml:space="preserve">die </w:t>
      </w:r>
      <w:r w:rsidR="00B17F35" w:rsidRPr="00C031EA">
        <w:rPr>
          <w:rFonts w:ascii="Times New Roman" w:hAnsi="Times New Roman" w:cs="Times New Roman"/>
          <w:sz w:val="24"/>
          <w:szCs w:val="24"/>
        </w:rPr>
        <w:t xml:space="preserve">Konsequenz, </w:t>
      </w:r>
      <w:r w:rsidR="00B25A6B" w:rsidRPr="00C031EA">
        <w:rPr>
          <w:rFonts w:ascii="Times New Roman" w:hAnsi="Times New Roman" w:cs="Times New Roman"/>
          <w:sz w:val="24"/>
          <w:szCs w:val="24"/>
        </w:rPr>
        <w:t>d</w:t>
      </w:r>
      <w:r w:rsidR="00B17F35" w:rsidRPr="00C031EA">
        <w:rPr>
          <w:rFonts w:ascii="Times New Roman" w:hAnsi="Times New Roman" w:cs="Times New Roman"/>
          <w:sz w:val="24"/>
          <w:szCs w:val="24"/>
        </w:rPr>
        <w:t xml:space="preserve">en Rechtsbeugungstatbestand zu bejahen, </w:t>
      </w:r>
      <w:r w:rsidR="00B25A6B" w:rsidRPr="00C031EA">
        <w:rPr>
          <w:rFonts w:ascii="Times New Roman" w:hAnsi="Times New Roman" w:cs="Times New Roman"/>
          <w:sz w:val="24"/>
          <w:szCs w:val="24"/>
        </w:rPr>
        <w:t xml:space="preserve">nunmehr </w:t>
      </w:r>
      <w:r w:rsidR="000365EE" w:rsidRPr="00C031EA">
        <w:rPr>
          <w:rFonts w:ascii="Times New Roman" w:hAnsi="Times New Roman" w:cs="Times New Roman"/>
          <w:sz w:val="24"/>
          <w:szCs w:val="24"/>
        </w:rPr>
        <w:t xml:space="preserve">unausweichlich </w:t>
      </w:r>
      <w:r>
        <w:rPr>
          <w:rFonts w:ascii="Times New Roman" w:hAnsi="Times New Roman" w:cs="Times New Roman"/>
          <w:sz w:val="24"/>
          <w:szCs w:val="24"/>
        </w:rPr>
        <w:t>scheint</w:t>
      </w:r>
      <w:r w:rsidR="000365EE" w:rsidRPr="00C031EA">
        <w:rPr>
          <w:rFonts w:ascii="Times New Roman" w:hAnsi="Times New Roman" w:cs="Times New Roman"/>
          <w:sz w:val="24"/>
          <w:szCs w:val="24"/>
        </w:rPr>
        <w:t xml:space="preserve">, flüchtet die Generalsstaatsanwaltschaft in den </w:t>
      </w:r>
      <w:r w:rsidR="007B1ACB" w:rsidRPr="00C031EA">
        <w:rPr>
          <w:rFonts w:ascii="Times New Roman" w:hAnsi="Times New Roman" w:cs="Times New Roman"/>
          <w:sz w:val="24"/>
          <w:szCs w:val="24"/>
        </w:rPr>
        <w:t xml:space="preserve">Konjunktiv </w:t>
      </w:r>
      <w:r w:rsidR="000365EE" w:rsidRPr="00C031EA">
        <w:rPr>
          <w:rFonts w:ascii="Times New Roman" w:hAnsi="Times New Roman" w:cs="Times New Roman"/>
          <w:sz w:val="24"/>
          <w:szCs w:val="24"/>
        </w:rPr>
        <w:t xml:space="preserve">und räumt lediglich ein, </w:t>
      </w:r>
      <w:r w:rsidR="007B1ACB" w:rsidRPr="00C031EA">
        <w:rPr>
          <w:rFonts w:ascii="Times New Roman" w:hAnsi="Times New Roman" w:cs="Times New Roman"/>
          <w:sz w:val="24"/>
          <w:szCs w:val="24"/>
        </w:rPr>
        <w:t xml:space="preserve">dass damit </w:t>
      </w:r>
      <w:r w:rsidR="006C32CC" w:rsidRPr="00C031EA">
        <w:rPr>
          <w:rFonts w:ascii="Times New Roman" w:hAnsi="Times New Roman" w:cs="Times New Roman"/>
          <w:sz w:val="24"/>
          <w:szCs w:val="24"/>
        </w:rPr>
        <w:t>der Tatbestand der Rechtsbeugung</w:t>
      </w:r>
      <w:r w:rsidR="006C32CC" w:rsidRPr="00C031EA">
        <w:rPr>
          <w:rFonts w:ascii="Times New Roman" w:hAnsi="Times New Roman" w:cs="Times New Roman"/>
          <w:i/>
          <w:sz w:val="24"/>
          <w:szCs w:val="24"/>
        </w:rPr>
        <w:t xml:space="preserve"> </w:t>
      </w:r>
      <w:r w:rsidR="007B1ACB" w:rsidRPr="00C031EA">
        <w:rPr>
          <w:rFonts w:ascii="Times New Roman" w:hAnsi="Times New Roman" w:cs="Times New Roman"/>
          <w:sz w:val="24"/>
          <w:szCs w:val="24"/>
        </w:rPr>
        <w:t xml:space="preserve">objektiv </w:t>
      </w:r>
      <w:r w:rsidR="006C32CC" w:rsidRPr="00C031EA">
        <w:rPr>
          <w:rFonts w:ascii="Times New Roman" w:hAnsi="Times New Roman" w:cs="Times New Roman"/>
          <w:sz w:val="24"/>
          <w:szCs w:val="24"/>
        </w:rPr>
        <w:t>erfüll</w:t>
      </w:r>
      <w:r w:rsidR="007B1ACB" w:rsidRPr="00C031EA">
        <w:rPr>
          <w:rFonts w:ascii="Times New Roman" w:hAnsi="Times New Roman" w:cs="Times New Roman"/>
          <w:sz w:val="24"/>
          <w:szCs w:val="24"/>
        </w:rPr>
        <w:t>t</w:t>
      </w:r>
      <w:r w:rsidR="006C32CC" w:rsidRPr="00C031EA">
        <w:rPr>
          <w:rFonts w:ascii="Times New Roman" w:hAnsi="Times New Roman" w:cs="Times New Roman"/>
          <w:i/>
          <w:sz w:val="24"/>
          <w:szCs w:val="24"/>
        </w:rPr>
        <w:t xml:space="preserve"> </w:t>
      </w:r>
      <w:r w:rsidR="007B1ACB" w:rsidRPr="00C031EA">
        <w:rPr>
          <w:rFonts w:ascii="Times New Roman" w:hAnsi="Times New Roman" w:cs="Times New Roman"/>
          <w:i/>
          <w:sz w:val="24"/>
          <w:szCs w:val="24"/>
        </w:rPr>
        <w:t>„</w:t>
      </w:r>
      <w:r w:rsidR="006C32CC" w:rsidRPr="00C031EA">
        <w:rPr>
          <w:rFonts w:ascii="Times New Roman" w:hAnsi="Times New Roman" w:cs="Times New Roman"/>
          <w:i/>
          <w:sz w:val="24"/>
          <w:szCs w:val="24"/>
        </w:rPr>
        <w:t>wäre“</w:t>
      </w:r>
      <w:r w:rsidR="00B25A6B" w:rsidRPr="00C031EA">
        <w:rPr>
          <w:rFonts w:ascii="Times New Roman" w:hAnsi="Times New Roman" w:cs="Times New Roman"/>
          <w:i/>
          <w:sz w:val="24"/>
          <w:szCs w:val="24"/>
        </w:rPr>
        <w:t xml:space="preserve">. </w:t>
      </w:r>
      <w:r w:rsidR="000365EE" w:rsidRPr="00C031EA">
        <w:rPr>
          <w:rFonts w:ascii="Times New Roman" w:hAnsi="Times New Roman" w:cs="Times New Roman"/>
          <w:sz w:val="24"/>
          <w:szCs w:val="24"/>
        </w:rPr>
        <w:t xml:space="preserve">Den </w:t>
      </w:r>
      <w:r w:rsidR="00D94FDC" w:rsidRPr="00C031EA">
        <w:rPr>
          <w:rFonts w:ascii="Times New Roman" w:hAnsi="Times New Roman" w:cs="Times New Roman"/>
          <w:sz w:val="24"/>
          <w:szCs w:val="24"/>
        </w:rPr>
        <w:t>Rechtsbeugungsvorsatz</w:t>
      </w:r>
      <w:r w:rsidR="000365EE" w:rsidRPr="00C031EA">
        <w:rPr>
          <w:rFonts w:ascii="Times New Roman" w:hAnsi="Times New Roman" w:cs="Times New Roman"/>
          <w:sz w:val="24"/>
          <w:szCs w:val="24"/>
        </w:rPr>
        <w:t xml:space="preserve"> </w:t>
      </w:r>
      <w:r w:rsidR="00B25A6B" w:rsidRPr="00C031EA">
        <w:rPr>
          <w:rFonts w:ascii="Times New Roman" w:hAnsi="Times New Roman" w:cs="Times New Roman"/>
          <w:sz w:val="24"/>
          <w:szCs w:val="24"/>
        </w:rPr>
        <w:t xml:space="preserve">hingegen </w:t>
      </w:r>
      <w:r w:rsidR="000365EE" w:rsidRPr="00C031EA">
        <w:rPr>
          <w:rFonts w:ascii="Times New Roman" w:hAnsi="Times New Roman" w:cs="Times New Roman"/>
          <w:sz w:val="24"/>
          <w:szCs w:val="24"/>
        </w:rPr>
        <w:t>verneint sie leichthin</w:t>
      </w:r>
      <w:r w:rsidR="00B25A6B" w:rsidRPr="00C031EA">
        <w:rPr>
          <w:rFonts w:ascii="Times New Roman" w:hAnsi="Times New Roman" w:cs="Times New Roman"/>
          <w:sz w:val="24"/>
          <w:szCs w:val="24"/>
        </w:rPr>
        <w:t xml:space="preserve"> mit dem Hinweis, dass dieser</w:t>
      </w:r>
      <w:r w:rsidR="00D94FDC" w:rsidRPr="00C031EA">
        <w:rPr>
          <w:rFonts w:ascii="Times New Roman" w:hAnsi="Times New Roman" w:cs="Times New Roman"/>
          <w:sz w:val="24"/>
          <w:szCs w:val="24"/>
        </w:rPr>
        <w:t xml:space="preserve"> </w:t>
      </w:r>
      <w:r w:rsidR="00D94FDC" w:rsidRPr="00C031EA">
        <w:rPr>
          <w:rFonts w:ascii="Times New Roman" w:hAnsi="Times New Roman" w:cs="Times New Roman"/>
          <w:i/>
          <w:sz w:val="24"/>
          <w:szCs w:val="24"/>
        </w:rPr>
        <w:t>„einschränkend auszulegen“</w:t>
      </w:r>
      <w:r w:rsidR="00D94FDC" w:rsidRPr="00C031EA">
        <w:rPr>
          <w:rFonts w:ascii="Times New Roman" w:hAnsi="Times New Roman" w:cs="Times New Roman"/>
          <w:sz w:val="24"/>
          <w:szCs w:val="24"/>
        </w:rPr>
        <w:t xml:space="preserve"> sei und der Täter </w:t>
      </w:r>
      <w:r w:rsidR="00D94FDC" w:rsidRPr="00C031EA">
        <w:rPr>
          <w:rFonts w:ascii="Times New Roman" w:hAnsi="Times New Roman" w:cs="Times New Roman"/>
          <w:i/>
          <w:sz w:val="24"/>
          <w:szCs w:val="24"/>
        </w:rPr>
        <w:t xml:space="preserve">„gerade im Bewusstsein des elementaren Rechtsbruchs“ </w:t>
      </w:r>
      <w:r w:rsidR="00D94FDC" w:rsidRPr="00C031EA">
        <w:rPr>
          <w:rFonts w:ascii="Times New Roman" w:hAnsi="Times New Roman" w:cs="Times New Roman"/>
          <w:sz w:val="24"/>
          <w:szCs w:val="24"/>
        </w:rPr>
        <w:t>handeln müsse.</w:t>
      </w:r>
      <w:r w:rsidR="00B9175E" w:rsidRPr="00C031EA">
        <w:rPr>
          <w:rFonts w:ascii="Times New Roman" w:hAnsi="Times New Roman" w:cs="Times New Roman"/>
          <w:sz w:val="24"/>
          <w:szCs w:val="24"/>
        </w:rPr>
        <w:t xml:space="preserve"> </w:t>
      </w:r>
      <w:r w:rsidR="00026EA5">
        <w:rPr>
          <w:rFonts w:ascii="Times New Roman" w:hAnsi="Times New Roman" w:cs="Times New Roman"/>
          <w:sz w:val="24"/>
          <w:szCs w:val="24"/>
        </w:rPr>
        <w:t xml:space="preserve">Dabei hat schon das Reichsgericht festgestellt, dass </w:t>
      </w:r>
      <w:r w:rsidR="0031687D" w:rsidRPr="00C031EA">
        <w:rPr>
          <w:rFonts w:ascii="Times New Roman" w:hAnsi="Times New Roman" w:cs="Times New Roman"/>
          <w:sz w:val="24"/>
          <w:szCs w:val="24"/>
        </w:rPr>
        <w:t>„e</w:t>
      </w:r>
      <w:r w:rsidR="00B8381F" w:rsidRPr="00C031EA">
        <w:rPr>
          <w:rFonts w:ascii="Times New Roman" w:hAnsi="Times New Roman" w:cs="Times New Roman"/>
          <w:i/>
          <w:sz w:val="24"/>
          <w:szCs w:val="24"/>
        </w:rPr>
        <w:t xml:space="preserve">s genügt, wenn der Täter bei der Leitung des Verfahrens das Recht in dem </w:t>
      </w:r>
      <w:proofErr w:type="spellStart"/>
      <w:r w:rsidR="00B8381F" w:rsidRPr="00C031EA">
        <w:rPr>
          <w:rFonts w:ascii="Times New Roman" w:hAnsi="Times New Roman" w:cs="Times New Roman"/>
          <w:i/>
          <w:sz w:val="24"/>
          <w:szCs w:val="24"/>
        </w:rPr>
        <w:t>Bewußtsein</w:t>
      </w:r>
      <w:proofErr w:type="spellEnd"/>
      <w:r w:rsidR="00B8381F" w:rsidRPr="00C031EA">
        <w:rPr>
          <w:rFonts w:ascii="Times New Roman" w:hAnsi="Times New Roman" w:cs="Times New Roman"/>
          <w:i/>
          <w:sz w:val="24"/>
          <w:szCs w:val="24"/>
        </w:rPr>
        <w:t xml:space="preserve"> verletzt, </w:t>
      </w:r>
      <w:proofErr w:type="spellStart"/>
      <w:r w:rsidR="00B8381F" w:rsidRPr="00C031EA">
        <w:rPr>
          <w:rFonts w:ascii="Times New Roman" w:hAnsi="Times New Roman" w:cs="Times New Roman"/>
          <w:i/>
          <w:sz w:val="24"/>
          <w:szCs w:val="24"/>
        </w:rPr>
        <w:t>daß</w:t>
      </w:r>
      <w:proofErr w:type="spellEnd"/>
      <w:r w:rsidR="00B8381F" w:rsidRPr="00C031EA">
        <w:rPr>
          <w:rFonts w:ascii="Times New Roman" w:hAnsi="Times New Roman" w:cs="Times New Roman"/>
          <w:i/>
          <w:sz w:val="24"/>
          <w:szCs w:val="24"/>
        </w:rPr>
        <w:t xml:space="preserve"> dadurch die Rechtsstellung der Partei verbessert oder verschlechtert wird, und es belanglos </w:t>
      </w:r>
      <w:r w:rsidR="0031687D" w:rsidRPr="00C031EA">
        <w:rPr>
          <w:rFonts w:ascii="Times New Roman" w:hAnsi="Times New Roman" w:cs="Times New Roman"/>
          <w:i/>
          <w:sz w:val="24"/>
          <w:szCs w:val="24"/>
        </w:rPr>
        <w:t xml:space="preserve">(ist, ) </w:t>
      </w:r>
      <w:r w:rsidR="00B8381F" w:rsidRPr="00C031EA">
        <w:rPr>
          <w:rFonts w:ascii="Times New Roman" w:hAnsi="Times New Roman" w:cs="Times New Roman"/>
          <w:i/>
          <w:sz w:val="24"/>
          <w:szCs w:val="24"/>
        </w:rPr>
        <w:t xml:space="preserve">ob der Täter das im </w:t>
      </w:r>
      <w:proofErr w:type="spellStart"/>
      <w:r w:rsidR="00B8381F" w:rsidRPr="00C031EA">
        <w:rPr>
          <w:rFonts w:ascii="Times New Roman" w:hAnsi="Times New Roman" w:cs="Times New Roman"/>
          <w:i/>
          <w:sz w:val="24"/>
          <w:szCs w:val="24"/>
        </w:rPr>
        <w:t>Bewußtsein</w:t>
      </w:r>
      <w:proofErr w:type="spellEnd"/>
      <w:r w:rsidR="00B8381F" w:rsidRPr="00C031EA">
        <w:rPr>
          <w:rFonts w:ascii="Times New Roman" w:hAnsi="Times New Roman" w:cs="Times New Roman"/>
          <w:i/>
          <w:sz w:val="24"/>
          <w:szCs w:val="24"/>
        </w:rPr>
        <w:t xml:space="preserve"> oder gar in </w:t>
      </w:r>
      <w:r w:rsidR="00B8381F" w:rsidRPr="00C031EA">
        <w:rPr>
          <w:rFonts w:ascii="Times New Roman" w:hAnsi="Times New Roman" w:cs="Times New Roman"/>
          <w:i/>
          <w:sz w:val="24"/>
          <w:szCs w:val="24"/>
        </w:rPr>
        <w:lastRenderedPageBreak/>
        <w:t>der Absicht tut, eine nach seiner Meinung richtige oder unrichtige Entscheidung herbeizuführen und ob durch die bei der Leitung begangene Rechtsbeugung tatsächlich eine richtige oder falsche Entscheidung verursacht wird.“</w:t>
      </w:r>
      <w:r w:rsidR="00D274B7" w:rsidRPr="00C031EA">
        <w:rPr>
          <w:rStyle w:val="Funotenzeichen"/>
          <w:rFonts w:ascii="Times New Roman" w:hAnsi="Times New Roman" w:cs="Times New Roman"/>
          <w:sz w:val="24"/>
          <w:szCs w:val="24"/>
        </w:rPr>
        <w:footnoteReference w:id="10"/>
      </w:r>
      <w:r w:rsidR="00D274B7" w:rsidRPr="00C031EA">
        <w:rPr>
          <w:rFonts w:ascii="Times New Roman" w:hAnsi="Times New Roman" w:cs="Times New Roman"/>
          <w:sz w:val="24"/>
          <w:szCs w:val="24"/>
        </w:rPr>
        <w:t xml:space="preserve"> </w:t>
      </w:r>
      <w:r w:rsidR="00B61949" w:rsidRPr="00C031EA">
        <w:rPr>
          <w:rFonts w:ascii="Times New Roman" w:hAnsi="Times New Roman" w:cs="Times New Roman"/>
          <w:sz w:val="24"/>
          <w:szCs w:val="24"/>
        </w:rPr>
        <w:t xml:space="preserve">Dem ist schließlich </w:t>
      </w:r>
      <w:r w:rsidR="00D274B7" w:rsidRPr="00C031EA">
        <w:rPr>
          <w:rFonts w:ascii="Times New Roman" w:hAnsi="Times New Roman" w:cs="Times New Roman"/>
          <w:sz w:val="24"/>
          <w:szCs w:val="24"/>
        </w:rPr>
        <w:t>auch der Bundesgerichtshof gefolgt</w:t>
      </w:r>
      <w:r w:rsidR="00026EA5">
        <w:rPr>
          <w:rFonts w:ascii="Times New Roman" w:hAnsi="Times New Roman" w:cs="Times New Roman"/>
          <w:sz w:val="24"/>
          <w:szCs w:val="24"/>
        </w:rPr>
        <w:t>.</w:t>
      </w:r>
      <w:r w:rsidR="00D274B7" w:rsidRPr="00C031EA">
        <w:rPr>
          <w:rStyle w:val="Funotenzeichen"/>
          <w:rFonts w:ascii="Times New Roman" w:hAnsi="Times New Roman" w:cs="Times New Roman"/>
          <w:sz w:val="24"/>
          <w:szCs w:val="24"/>
        </w:rPr>
        <w:footnoteReference w:id="11"/>
      </w:r>
      <w:r w:rsidR="00B8698B" w:rsidRPr="00C031EA">
        <w:rPr>
          <w:rFonts w:ascii="Times New Roman" w:hAnsi="Times New Roman" w:cs="Times New Roman"/>
          <w:sz w:val="24"/>
          <w:szCs w:val="24"/>
        </w:rPr>
        <w:t xml:space="preserve"> </w:t>
      </w:r>
      <w:r w:rsidR="00026EA5">
        <w:rPr>
          <w:rFonts w:ascii="Times New Roman" w:hAnsi="Times New Roman" w:cs="Times New Roman"/>
          <w:sz w:val="24"/>
          <w:szCs w:val="24"/>
        </w:rPr>
        <w:t>Doch die</w:t>
      </w:r>
      <w:r w:rsidR="00026EA5" w:rsidRPr="00C031EA">
        <w:rPr>
          <w:rFonts w:ascii="Times New Roman" w:hAnsi="Times New Roman" w:cs="Times New Roman"/>
          <w:sz w:val="24"/>
          <w:szCs w:val="24"/>
        </w:rPr>
        <w:t xml:space="preserve"> Generalstaatsanwaltschaft </w:t>
      </w:r>
      <w:r w:rsidR="00026EA5">
        <w:rPr>
          <w:rFonts w:ascii="Times New Roman" w:hAnsi="Times New Roman" w:cs="Times New Roman"/>
          <w:sz w:val="24"/>
          <w:szCs w:val="24"/>
        </w:rPr>
        <w:t xml:space="preserve">spricht </w:t>
      </w:r>
      <w:r w:rsidR="00026EA5" w:rsidRPr="00C031EA">
        <w:rPr>
          <w:rFonts w:ascii="Times New Roman" w:hAnsi="Times New Roman" w:cs="Times New Roman"/>
          <w:sz w:val="24"/>
          <w:szCs w:val="24"/>
        </w:rPr>
        <w:t xml:space="preserve">dem Oberstaatsanwalt </w:t>
      </w:r>
      <w:r w:rsidR="00026EA5">
        <w:rPr>
          <w:rFonts w:ascii="Times New Roman" w:hAnsi="Times New Roman" w:cs="Times New Roman"/>
          <w:sz w:val="24"/>
          <w:szCs w:val="24"/>
        </w:rPr>
        <w:t xml:space="preserve">solch ein Bewusstsein </w:t>
      </w:r>
      <w:r w:rsidR="00026EA5" w:rsidRPr="00C031EA">
        <w:rPr>
          <w:rFonts w:ascii="Times New Roman" w:hAnsi="Times New Roman" w:cs="Times New Roman"/>
          <w:sz w:val="24"/>
          <w:szCs w:val="24"/>
        </w:rPr>
        <w:t>ab</w:t>
      </w:r>
      <w:r w:rsidR="00026EA5">
        <w:rPr>
          <w:rFonts w:ascii="Times New Roman" w:hAnsi="Times New Roman" w:cs="Times New Roman"/>
          <w:sz w:val="24"/>
          <w:szCs w:val="24"/>
        </w:rPr>
        <w:t>. Mit</w:t>
      </w:r>
      <w:r w:rsidR="00026EA5" w:rsidRPr="00C031EA">
        <w:rPr>
          <w:rFonts w:ascii="Times New Roman" w:hAnsi="Times New Roman" w:cs="Times New Roman"/>
          <w:sz w:val="24"/>
          <w:szCs w:val="24"/>
        </w:rPr>
        <w:t xml:space="preserve"> seiner </w:t>
      </w:r>
      <w:r w:rsidR="00026EA5">
        <w:rPr>
          <w:rFonts w:ascii="Times New Roman" w:hAnsi="Times New Roman" w:cs="Times New Roman"/>
          <w:sz w:val="24"/>
          <w:szCs w:val="24"/>
        </w:rPr>
        <w:t>(</w:t>
      </w:r>
      <w:r w:rsidR="00026EA5" w:rsidRPr="00C031EA">
        <w:rPr>
          <w:rFonts w:ascii="Times New Roman" w:hAnsi="Times New Roman" w:cs="Times New Roman"/>
          <w:sz w:val="24"/>
          <w:szCs w:val="24"/>
        </w:rPr>
        <w:t>dienstlichen</w:t>
      </w:r>
      <w:r w:rsidR="00026EA5">
        <w:rPr>
          <w:rFonts w:ascii="Times New Roman" w:hAnsi="Times New Roman" w:cs="Times New Roman"/>
          <w:sz w:val="24"/>
          <w:szCs w:val="24"/>
        </w:rPr>
        <w:t>)</w:t>
      </w:r>
      <w:r w:rsidR="00026EA5" w:rsidRPr="00C031EA">
        <w:rPr>
          <w:rFonts w:ascii="Times New Roman" w:hAnsi="Times New Roman" w:cs="Times New Roman"/>
          <w:sz w:val="24"/>
          <w:szCs w:val="24"/>
        </w:rPr>
        <w:t xml:space="preserve"> Erklärung</w:t>
      </w:r>
      <w:r w:rsidR="00026EA5">
        <w:rPr>
          <w:rFonts w:ascii="Times New Roman" w:hAnsi="Times New Roman" w:cs="Times New Roman"/>
          <w:sz w:val="24"/>
          <w:szCs w:val="24"/>
        </w:rPr>
        <w:t>, er habe</w:t>
      </w:r>
      <w:r w:rsidR="00026EA5" w:rsidRPr="00C031EA">
        <w:rPr>
          <w:rFonts w:ascii="Times New Roman" w:hAnsi="Times New Roman" w:cs="Times New Roman"/>
          <w:sz w:val="24"/>
          <w:szCs w:val="24"/>
        </w:rPr>
        <w:t xml:space="preserve"> eine</w:t>
      </w:r>
      <w:r w:rsidR="00026EA5">
        <w:rPr>
          <w:rFonts w:ascii="Times New Roman" w:hAnsi="Times New Roman" w:cs="Times New Roman"/>
          <w:sz w:val="24"/>
          <w:szCs w:val="24"/>
        </w:rPr>
        <w:t xml:space="preserve"> </w:t>
      </w:r>
      <w:r w:rsidR="00026EA5" w:rsidRPr="00C031EA">
        <w:rPr>
          <w:rFonts w:ascii="Times New Roman" w:hAnsi="Times New Roman" w:cs="Times New Roman"/>
          <w:sz w:val="24"/>
          <w:szCs w:val="24"/>
        </w:rPr>
        <w:t>Entscheidung“ getroffen</w:t>
      </w:r>
      <w:r w:rsidR="00026EA5">
        <w:rPr>
          <w:rFonts w:ascii="Times New Roman" w:hAnsi="Times New Roman" w:cs="Times New Roman"/>
          <w:sz w:val="24"/>
          <w:szCs w:val="24"/>
        </w:rPr>
        <w:t xml:space="preserve">, ist das freilich nicht zu vereinbaren, setzt doch das Treffen einer Entscheidung zwingend Bewusstsein voraus. </w:t>
      </w:r>
      <w:r w:rsidR="00026EA5" w:rsidRPr="00C031EA">
        <w:rPr>
          <w:rFonts w:ascii="Times New Roman" w:hAnsi="Times New Roman" w:cs="Times New Roman"/>
          <w:sz w:val="24"/>
          <w:szCs w:val="24"/>
        </w:rPr>
        <w:t>Fraglich wäre allenfalls, ob und welcher Art von Irrtum der Oberstaatsanwalt womöglich erlegen ist und vor allem, inwieweit dies überhaupt relevant sein könnte.</w:t>
      </w:r>
      <w:r w:rsidR="00026EA5" w:rsidRPr="00C031EA">
        <w:rPr>
          <w:rStyle w:val="Funotenzeichen"/>
          <w:rFonts w:ascii="Times New Roman" w:hAnsi="Times New Roman" w:cs="Times New Roman"/>
          <w:sz w:val="24"/>
          <w:szCs w:val="24"/>
        </w:rPr>
        <w:footnoteReference w:id="12"/>
      </w:r>
      <w:r w:rsidR="00026EA5">
        <w:rPr>
          <w:rFonts w:ascii="Times New Roman" w:hAnsi="Times New Roman" w:cs="Times New Roman"/>
          <w:sz w:val="24"/>
          <w:szCs w:val="24"/>
        </w:rPr>
        <w:t xml:space="preserve"> – Für den Verbotsirrtum jedenfalls hat der Bundesgerichtshof </w:t>
      </w:r>
      <w:r w:rsidR="00B8698B" w:rsidRPr="00C031EA">
        <w:rPr>
          <w:rFonts w:ascii="Times New Roman" w:hAnsi="Times New Roman" w:cs="Times New Roman"/>
          <w:sz w:val="24"/>
          <w:szCs w:val="24"/>
        </w:rPr>
        <w:t>die Unvermeidbarkeit angesichts der Schwere von Rechtsverstößen</w:t>
      </w:r>
      <w:r w:rsidR="00B61949" w:rsidRPr="00C031EA">
        <w:rPr>
          <w:rFonts w:ascii="Times New Roman" w:hAnsi="Times New Roman" w:cs="Times New Roman"/>
          <w:sz w:val="24"/>
          <w:szCs w:val="24"/>
        </w:rPr>
        <w:t>, welche für die Tatbestandserfüllung vorausgesetzt werden,</w:t>
      </w:r>
      <w:r w:rsidR="00B8698B" w:rsidRPr="00C031EA">
        <w:rPr>
          <w:rFonts w:ascii="Times New Roman" w:hAnsi="Times New Roman" w:cs="Times New Roman"/>
          <w:sz w:val="24"/>
          <w:szCs w:val="24"/>
        </w:rPr>
        <w:t xml:space="preserve"> faktisch ausgeschlossen.</w:t>
      </w:r>
      <w:r w:rsidR="00B8698B" w:rsidRPr="00C031EA">
        <w:rPr>
          <w:rStyle w:val="Funotenzeichen"/>
          <w:rFonts w:ascii="Times New Roman" w:hAnsi="Times New Roman" w:cs="Times New Roman"/>
          <w:sz w:val="24"/>
          <w:szCs w:val="24"/>
        </w:rPr>
        <w:footnoteReference w:id="13"/>
      </w:r>
      <w:r w:rsidR="00B8698B" w:rsidRPr="00C031EA">
        <w:rPr>
          <w:rFonts w:ascii="Times New Roman" w:hAnsi="Times New Roman" w:cs="Times New Roman"/>
          <w:sz w:val="24"/>
          <w:szCs w:val="24"/>
        </w:rPr>
        <w:t xml:space="preserve"> </w:t>
      </w:r>
    </w:p>
    <w:p w:rsidR="00A83338" w:rsidRDefault="00026EA5" w:rsidP="00C031E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Letzten Endes gründet die Entscheidung der Generalstaatsanwaltschaft jedoch auf einem anderen materiell-strafrechtlichen Argument. Die </w:t>
      </w:r>
      <w:r w:rsidR="00740442" w:rsidRPr="00C031EA">
        <w:rPr>
          <w:rFonts w:ascii="Times New Roman" w:hAnsi="Times New Roman" w:cs="Times New Roman"/>
          <w:sz w:val="24"/>
          <w:szCs w:val="24"/>
        </w:rPr>
        <w:t>Generalstaatsanwaltschaf</w:t>
      </w:r>
      <w:r>
        <w:rPr>
          <w:rFonts w:ascii="Times New Roman" w:hAnsi="Times New Roman" w:cs="Times New Roman"/>
          <w:sz w:val="24"/>
          <w:szCs w:val="24"/>
        </w:rPr>
        <w:t xml:space="preserve">t legt nämlich die fast schon als </w:t>
      </w:r>
      <w:r w:rsidR="00740442" w:rsidRPr="00C031EA">
        <w:rPr>
          <w:rFonts w:ascii="Times New Roman" w:hAnsi="Times New Roman" w:cs="Times New Roman"/>
          <w:sz w:val="24"/>
          <w:szCs w:val="24"/>
        </w:rPr>
        <w:t>geständige Einlassung</w:t>
      </w:r>
      <w:r w:rsidR="00B61949" w:rsidRPr="00C031EA">
        <w:rPr>
          <w:rFonts w:ascii="Times New Roman" w:hAnsi="Times New Roman" w:cs="Times New Roman"/>
          <w:sz w:val="24"/>
          <w:szCs w:val="24"/>
        </w:rPr>
        <w:t xml:space="preserve"> </w:t>
      </w:r>
      <w:r>
        <w:rPr>
          <w:rFonts w:ascii="Times New Roman" w:hAnsi="Times New Roman" w:cs="Times New Roman"/>
          <w:sz w:val="24"/>
          <w:szCs w:val="24"/>
        </w:rPr>
        <w:t xml:space="preserve">einzustufende Erklärung des Oberstaatsanwalts, die Entscheidung für eine etwas zu milde </w:t>
      </w:r>
      <w:proofErr w:type="spellStart"/>
      <w:r>
        <w:rPr>
          <w:rFonts w:ascii="Times New Roman" w:hAnsi="Times New Roman" w:cs="Times New Roman"/>
          <w:sz w:val="24"/>
          <w:szCs w:val="24"/>
        </w:rPr>
        <w:t>Betrafungdes</w:t>
      </w:r>
      <w:proofErr w:type="spellEnd"/>
      <w:r>
        <w:rPr>
          <w:rFonts w:ascii="Times New Roman" w:hAnsi="Times New Roman" w:cs="Times New Roman"/>
          <w:sz w:val="24"/>
          <w:szCs w:val="24"/>
        </w:rPr>
        <w:t xml:space="preserve"> Beschuldigten getroffen zu h</w:t>
      </w:r>
      <w:r w:rsidR="00A83338">
        <w:rPr>
          <w:rFonts w:ascii="Times New Roman" w:hAnsi="Times New Roman" w:cs="Times New Roman"/>
          <w:sz w:val="24"/>
          <w:szCs w:val="24"/>
        </w:rPr>
        <w:t>aben, als bloßen Eventualvorsatz aus und stellt klar:</w:t>
      </w:r>
      <w:r w:rsidR="00216B11" w:rsidRPr="00C031EA">
        <w:rPr>
          <w:rFonts w:ascii="Times New Roman" w:hAnsi="Times New Roman" w:cs="Times New Roman"/>
          <w:sz w:val="24"/>
          <w:szCs w:val="24"/>
        </w:rPr>
        <w:t xml:space="preserve"> </w:t>
      </w:r>
      <w:r w:rsidR="00216B11" w:rsidRPr="00C031EA">
        <w:rPr>
          <w:rFonts w:ascii="Times New Roman" w:hAnsi="Times New Roman" w:cs="Times New Roman"/>
          <w:i/>
          <w:sz w:val="24"/>
          <w:szCs w:val="24"/>
        </w:rPr>
        <w:t xml:space="preserve">„Gemeint sein dürfte, dass </w:t>
      </w:r>
      <w:r w:rsidR="00913FF0" w:rsidRPr="00C031EA">
        <w:rPr>
          <w:rFonts w:ascii="Times New Roman" w:hAnsi="Times New Roman" w:cs="Times New Roman"/>
          <w:i/>
          <w:sz w:val="24"/>
          <w:szCs w:val="24"/>
        </w:rPr>
        <w:t>die etwas zu milde Bestrafung in Kauf genommen</w:t>
      </w:r>
      <w:r w:rsidR="00216B11" w:rsidRPr="00C031EA">
        <w:rPr>
          <w:rFonts w:ascii="Times New Roman" w:hAnsi="Times New Roman" w:cs="Times New Roman"/>
          <w:i/>
          <w:sz w:val="24"/>
          <w:szCs w:val="24"/>
        </w:rPr>
        <w:t xml:space="preserve"> werden müsse.</w:t>
      </w:r>
      <w:r w:rsidR="00913FF0" w:rsidRPr="00C031EA">
        <w:rPr>
          <w:rFonts w:ascii="Times New Roman" w:hAnsi="Times New Roman" w:cs="Times New Roman"/>
          <w:i/>
          <w:sz w:val="24"/>
          <w:szCs w:val="24"/>
        </w:rPr>
        <w:t xml:space="preserve">“ </w:t>
      </w:r>
      <w:r w:rsidR="00A83338">
        <w:rPr>
          <w:rFonts w:ascii="Times New Roman" w:hAnsi="Times New Roman" w:cs="Times New Roman"/>
          <w:sz w:val="24"/>
          <w:szCs w:val="24"/>
        </w:rPr>
        <w:t>Wenn das tatsächlich zuträfe, ließe sich nichts dagegen einwenden, dass die Generalstaatsanwaltschaft</w:t>
      </w:r>
      <w:r w:rsidR="00216B11" w:rsidRPr="00C031EA">
        <w:rPr>
          <w:rFonts w:ascii="Times New Roman" w:hAnsi="Times New Roman" w:cs="Times New Roman"/>
          <w:sz w:val="24"/>
          <w:szCs w:val="24"/>
        </w:rPr>
        <w:t xml:space="preserve"> </w:t>
      </w:r>
      <w:r w:rsidR="00D94FDC" w:rsidRPr="00C031EA">
        <w:rPr>
          <w:rFonts w:ascii="Times New Roman" w:hAnsi="Times New Roman" w:cs="Times New Roman"/>
          <w:i/>
          <w:sz w:val="24"/>
          <w:szCs w:val="24"/>
        </w:rPr>
        <w:t>„keinen Anlass gefunden“</w:t>
      </w:r>
      <w:r w:rsidR="00A83338">
        <w:rPr>
          <w:rFonts w:ascii="Times New Roman" w:hAnsi="Times New Roman" w:cs="Times New Roman"/>
          <w:i/>
          <w:sz w:val="24"/>
          <w:szCs w:val="24"/>
        </w:rPr>
        <w:t xml:space="preserve"> </w:t>
      </w:r>
      <w:r w:rsidR="00A83338">
        <w:rPr>
          <w:rFonts w:ascii="Times New Roman" w:hAnsi="Times New Roman" w:cs="Times New Roman"/>
          <w:sz w:val="24"/>
          <w:szCs w:val="24"/>
        </w:rPr>
        <w:t>hat</w:t>
      </w:r>
      <w:r w:rsidR="00D94FDC" w:rsidRPr="00C031EA">
        <w:rPr>
          <w:rFonts w:ascii="Times New Roman" w:hAnsi="Times New Roman" w:cs="Times New Roman"/>
          <w:i/>
          <w:sz w:val="24"/>
          <w:szCs w:val="24"/>
        </w:rPr>
        <w:t xml:space="preserve">, </w:t>
      </w:r>
      <w:r w:rsidR="00D94FDC" w:rsidRPr="00C031EA">
        <w:rPr>
          <w:rFonts w:ascii="Times New Roman" w:hAnsi="Times New Roman" w:cs="Times New Roman"/>
          <w:sz w:val="24"/>
          <w:szCs w:val="24"/>
        </w:rPr>
        <w:t>die Einstellungsentscheidung zu beanstanden.</w:t>
      </w:r>
      <w:r w:rsidR="00D94FDC" w:rsidRPr="00C031EA">
        <w:rPr>
          <w:rStyle w:val="Funotenzeichen"/>
          <w:rFonts w:ascii="Times New Roman" w:hAnsi="Times New Roman" w:cs="Times New Roman"/>
          <w:sz w:val="24"/>
          <w:szCs w:val="24"/>
        </w:rPr>
        <w:footnoteReference w:id="14"/>
      </w:r>
      <w:r w:rsidR="00D459BD" w:rsidRPr="00C031EA">
        <w:rPr>
          <w:rFonts w:ascii="Times New Roman" w:hAnsi="Times New Roman" w:cs="Times New Roman"/>
          <w:sz w:val="24"/>
          <w:szCs w:val="24"/>
        </w:rPr>
        <w:t xml:space="preserve"> </w:t>
      </w:r>
      <w:r w:rsidR="006E4044" w:rsidRPr="00C031EA">
        <w:rPr>
          <w:rFonts w:ascii="Times New Roman" w:hAnsi="Times New Roman" w:cs="Times New Roman"/>
          <w:sz w:val="24"/>
          <w:szCs w:val="24"/>
        </w:rPr>
        <w:t xml:space="preserve">Dies nicht etwa, weil </w:t>
      </w:r>
      <w:r w:rsidR="00EB1B36" w:rsidRPr="00C031EA">
        <w:rPr>
          <w:rFonts w:ascii="Times New Roman" w:hAnsi="Times New Roman" w:cs="Times New Roman"/>
          <w:sz w:val="24"/>
          <w:szCs w:val="24"/>
        </w:rPr>
        <w:t xml:space="preserve">der Rechtsbeugungstatbestand gem. </w:t>
      </w:r>
      <w:r w:rsidR="006E4044" w:rsidRPr="00C031EA">
        <w:rPr>
          <w:rFonts w:ascii="Times New Roman" w:hAnsi="Times New Roman" w:cs="Times New Roman"/>
          <w:sz w:val="24"/>
          <w:szCs w:val="24"/>
        </w:rPr>
        <w:t>§ 339 StGB einen entsprechenden b</w:t>
      </w:r>
      <w:r w:rsidR="00A3198F" w:rsidRPr="00C031EA">
        <w:rPr>
          <w:rFonts w:ascii="Times New Roman" w:hAnsi="Times New Roman" w:cs="Times New Roman"/>
          <w:sz w:val="24"/>
          <w:szCs w:val="24"/>
        </w:rPr>
        <w:t>edingten</w:t>
      </w:r>
      <w:r w:rsidR="006E4044" w:rsidRPr="00C031EA">
        <w:rPr>
          <w:rFonts w:ascii="Times New Roman" w:hAnsi="Times New Roman" w:cs="Times New Roman"/>
          <w:sz w:val="24"/>
          <w:szCs w:val="24"/>
        </w:rPr>
        <w:t xml:space="preserve"> Vorsatz nicht ausreichen lassen würde. </w:t>
      </w:r>
      <w:r w:rsidR="00A83338">
        <w:rPr>
          <w:rFonts w:ascii="Times New Roman" w:hAnsi="Times New Roman" w:cs="Times New Roman"/>
          <w:sz w:val="24"/>
          <w:szCs w:val="24"/>
        </w:rPr>
        <w:t>Immerhin</w:t>
      </w:r>
      <w:r w:rsidR="00EB1B36" w:rsidRPr="00C031EA">
        <w:rPr>
          <w:rFonts w:ascii="Times New Roman" w:hAnsi="Times New Roman" w:cs="Times New Roman"/>
          <w:sz w:val="24"/>
          <w:szCs w:val="24"/>
        </w:rPr>
        <w:t xml:space="preserve"> hat der Gesetzgeber bei der Neufassung des damaligen § 336 StGB a.F. 1974</w:t>
      </w:r>
      <w:r w:rsidR="00EB1B36" w:rsidRPr="00C031EA">
        <w:rPr>
          <w:rStyle w:val="Funotenzeichen"/>
          <w:rFonts w:ascii="Times New Roman" w:hAnsi="Times New Roman" w:cs="Times New Roman"/>
          <w:sz w:val="24"/>
          <w:szCs w:val="24"/>
        </w:rPr>
        <w:footnoteReference w:id="15"/>
      </w:r>
      <w:r w:rsidR="00EB1B36" w:rsidRPr="00C031EA">
        <w:rPr>
          <w:rFonts w:ascii="Times New Roman" w:hAnsi="Times New Roman" w:cs="Times New Roman"/>
          <w:sz w:val="24"/>
          <w:szCs w:val="24"/>
        </w:rPr>
        <w:t xml:space="preserve"> e</w:t>
      </w:r>
      <w:r w:rsidR="001E4BFC" w:rsidRPr="00C031EA">
        <w:rPr>
          <w:rFonts w:ascii="Times New Roman" w:hAnsi="Times New Roman" w:cs="Times New Roman"/>
          <w:sz w:val="24"/>
          <w:szCs w:val="24"/>
        </w:rPr>
        <w:t>ine entsprechende Einschränkung auf den direkten Vorsatz</w:t>
      </w:r>
      <w:r w:rsidR="00EB1B36" w:rsidRPr="00C031EA">
        <w:rPr>
          <w:rFonts w:ascii="Times New Roman" w:hAnsi="Times New Roman" w:cs="Times New Roman"/>
          <w:sz w:val="24"/>
          <w:szCs w:val="24"/>
        </w:rPr>
        <w:t xml:space="preserve"> </w:t>
      </w:r>
      <w:r w:rsidR="001E4BFC" w:rsidRPr="00C031EA">
        <w:rPr>
          <w:rFonts w:ascii="Times New Roman" w:hAnsi="Times New Roman" w:cs="Times New Roman"/>
          <w:sz w:val="24"/>
          <w:szCs w:val="24"/>
        </w:rPr>
        <w:t xml:space="preserve">nach langen Diskussionen </w:t>
      </w:r>
      <w:r w:rsidR="00A83338">
        <w:rPr>
          <w:rFonts w:ascii="Times New Roman" w:hAnsi="Times New Roman" w:cs="Times New Roman"/>
          <w:sz w:val="24"/>
          <w:szCs w:val="24"/>
        </w:rPr>
        <w:t>ausdrücklich abgelehnt</w:t>
      </w:r>
      <w:r w:rsidR="001E4BFC" w:rsidRPr="00C031EA">
        <w:rPr>
          <w:rFonts w:ascii="Times New Roman" w:hAnsi="Times New Roman" w:cs="Times New Roman"/>
          <w:sz w:val="24"/>
          <w:szCs w:val="24"/>
        </w:rPr>
        <w:t xml:space="preserve">, obwohl sie im </w:t>
      </w:r>
      <w:r w:rsidR="00EB1B36" w:rsidRPr="00C031EA">
        <w:rPr>
          <w:rFonts w:ascii="Times New Roman" w:hAnsi="Times New Roman" w:cs="Times New Roman"/>
          <w:sz w:val="24"/>
          <w:szCs w:val="24"/>
        </w:rPr>
        <w:t xml:space="preserve">damaligen </w:t>
      </w:r>
      <w:r w:rsidR="001E4BFC" w:rsidRPr="00C031EA">
        <w:rPr>
          <w:rFonts w:ascii="Times New Roman" w:hAnsi="Times New Roman" w:cs="Times New Roman"/>
          <w:sz w:val="24"/>
          <w:szCs w:val="24"/>
        </w:rPr>
        <w:t>Gesetzentwurf noch enthalten war</w:t>
      </w:r>
      <w:r w:rsidR="00FE4B97" w:rsidRPr="00C031EA">
        <w:rPr>
          <w:rFonts w:ascii="Times New Roman" w:hAnsi="Times New Roman" w:cs="Times New Roman"/>
          <w:sz w:val="24"/>
          <w:szCs w:val="24"/>
        </w:rPr>
        <w:t>.</w:t>
      </w:r>
      <w:r w:rsidR="001E4BFC" w:rsidRPr="00C031EA">
        <w:rPr>
          <w:rStyle w:val="Funotenzeichen"/>
          <w:rFonts w:ascii="Times New Roman" w:hAnsi="Times New Roman" w:cs="Times New Roman"/>
          <w:sz w:val="24"/>
          <w:szCs w:val="24"/>
        </w:rPr>
        <w:footnoteReference w:id="16"/>
      </w:r>
      <w:r w:rsidR="00FE4B97" w:rsidRPr="00C031EA">
        <w:rPr>
          <w:rFonts w:ascii="Times New Roman" w:hAnsi="Times New Roman" w:cs="Times New Roman"/>
          <w:sz w:val="24"/>
          <w:szCs w:val="24"/>
        </w:rPr>
        <w:t xml:space="preserve"> </w:t>
      </w:r>
      <w:r w:rsidR="00101CE9" w:rsidRPr="00C031EA">
        <w:rPr>
          <w:rFonts w:ascii="Times New Roman" w:hAnsi="Times New Roman" w:cs="Times New Roman"/>
          <w:sz w:val="24"/>
          <w:szCs w:val="24"/>
        </w:rPr>
        <w:t>M</w:t>
      </w:r>
      <w:r w:rsidR="00315488" w:rsidRPr="00C031EA">
        <w:rPr>
          <w:rFonts w:ascii="Times New Roman" w:hAnsi="Times New Roman" w:cs="Times New Roman"/>
          <w:sz w:val="24"/>
          <w:szCs w:val="24"/>
        </w:rPr>
        <w:t>aßgebend</w:t>
      </w:r>
      <w:r w:rsidR="00101CE9" w:rsidRPr="00C031EA">
        <w:rPr>
          <w:rFonts w:ascii="Times New Roman" w:hAnsi="Times New Roman" w:cs="Times New Roman"/>
          <w:sz w:val="24"/>
          <w:szCs w:val="24"/>
        </w:rPr>
        <w:t xml:space="preserve"> ist</w:t>
      </w:r>
      <w:r w:rsidR="00315488" w:rsidRPr="00C031EA">
        <w:rPr>
          <w:rFonts w:ascii="Times New Roman" w:hAnsi="Times New Roman" w:cs="Times New Roman"/>
          <w:sz w:val="24"/>
          <w:szCs w:val="24"/>
        </w:rPr>
        <w:t xml:space="preserve">, dass unter der Prämisse, dass der Oberstaatsanwalt die Besserstellung des Angeklagten </w:t>
      </w:r>
      <w:r w:rsidR="00174806" w:rsidRPr="00C031EA">
        <w:rPr>
          <w:rFonts w:ascii="Times New Roman" w:hAnsi="Times New Roman" w:cs="Times New Roman"/>
          <w:sz w:val="24"/>
          <w:szCs w:val="24"/>
        </w:rPr>
        <w:t xml:space="preserve">tatsächlich </w:t>
      </w:r>
      <w:r w:rsidR="00315488" w:rsidRPr="00C031EA">
        <w:rPr>
          <w:rFonts w:ascii="Times New Roman" w:hAnsi="Times New Roman" w:cs="Times New Roman"/>
          <w:sz w:val="24"/>
          <w:szCs w:val="24"/>
        </w:rPr>
        <w:t>nur in Kauf</w:t>
      </w:r>
      <w:r w:rsidR="00101CE9" w:rsidRPr="00C031EA">
        <w:rPr>
          <w:rFonts w:ascii="Times New Roman" w:hAnsi="Times New Roman" w:cs="Times New Roman"/>
          <w:sz w:val="24"/>
          <w:szCs w:val="24"/>
        </w:rPr>
        <w:t xml:space="preserve"> </w:t>
      </w:r>
      <w:r w:rsidR="00315488" w:rsidRPr="00C031EA">
        <w:rPr>
          <w:rFonts w:ascii="Times New Roman" w:hAnsi="Times New Roman" w:cs="Times New Roman"/>
          <w:sz w:val="24"/>
          <w:szCs w:val="24"/>
        </w:rPr>
        <w:t xml:space="preserve">genommen hätte, </w:t>
      </w:r>
      <w:r w:rsidR="00EB1B36" w:rsidRPr="00C031EA">
        <w:rPr>
          <w:rFonts w:ascii="Times New Roman" w:hAnsi="Times New Roman" w:cs="Times New Roman"/>
          <w:sz w:val="24"/>
          <w:szCs w:val="24"/>
        </w:rPr>
        <w:t xml:space="preserve">er </w:t>
      </w:r>
      <w:r w:rsidR="00315488" w:rsidRPr="00C031EA">
        <w:rPr>
          <w:rFonts w:ascii="Times New Roman" w:hAnsi="Times New Roman" w:cs="Times New Roman"/>
          <w:sz w:val="24"/>
          <w:szCs w:val="24"/>
        </w:rPr>
        <w:t xml:space="preserve">keine Strafvereitelung im Amt </w:t>
      </w:r>
      <w:r w:rsidR="00315488" w:rsidRPr="00C031EA">
        <w:rPr>
          <w:rFonts w:ascii="Times New Roman" w:hAnsi="Times New Roman" w:cs="Times New Roman"/>
          <w:sz w:val="24"/>
          <w:szCs w:val="24"/>
        </w:rPr>
        <w:lastRenderedPageBreak/>
        <w:t>gem. §§ 258, 258 a StGB</w:t>
      </w:r>
      <w:r w:rsidR="00EB1B36" w:rsidRPr="00C031EA">
        <w:rPr>
          <w:rFonts w:ascii="Times New Roman" w:hAnsi="Times New Roman" w:cs="Times New Roman"/>
          <w:sz w:val="24"/>
          <w:szCs w:val="24"/>
        </w:rPr>
        <w:t xml:space="preserve"> begangen hätte. </w:t>
      </w:r>
      <w:r w:rsidR="00174806" w:rsidRPr="00C031EA">
        <w:rPr>
          <w:rFonts w:ascii="Times New Roman" w:hAnsi="Times New Roman" w:cs="Times New Roman"/>
          <w:sz w:val="24"/>
          <w:szCs w:val="24"/>
        </w:rPr>
        <w:t xml:space="preserve">Denn im Gegensatz zu § 339 StGB verlangen die §§ 258, 258a StGB im Hinblick auf den Vereitelungserfolg sehr wohl direkten Vorsatz. </w:t>
      </w:r>
      <w:r w:rsidR="00B61949" w:rsidRPr="00C031EA">
        <w:rPr>
          <w:rFonts w:ascii="Times New Roman" w:hAnsi="Times New Roman" w:cs="Times New Roman"/>
          <w:sz w:val="24"/>
          <w:szCs w:val="24"/>
        </w:rPr>
        <w:t>Im Ergebnis wirken sich d</w:t>
      </w:r>
      <w:r w:rsidR="00174806" w:rsidRPr="00C031EA">
        <w:rPr>
          <w:rFonts w:ascii="Times New Roman" w:hAnsi="Times New Roman" w:cs="Times New Roman"/>
          <w:sz w:val="24"/>
          <w:szCs w:val="24"/>
        </w:rPr>
        <w:t xml:space="preserve">iese erhöhten Anforderungen an den Strafvereitelungsvorsatz </w:t>
      </w:r>
      <w:r w:rsidR="00B61949" w:rsidRPr="00C031EA">
        <w:rPr>
          <w:rFonts w:ascii="Times New Roman" w:hAnsi="Times New Roman" w:cs="Times New Roman"/>
          <w:sz w:val="24"/>
          <w:szCs w:val="24"/>
        </w:rPr>
        <w:t>auch</w:t>
      </w:r>
      <w:r w:rsidR="00174806" w:rsidRPr="00C031EA">
        <w:rPr>
          <w:rFonts w:ascii="Times New Roman" w:hAnsi="Times New Roman" w:cs="Times New Roman"/>
          <w:sz w:val="24"/>
          <w:szCs w:val="24"/>
        </w:rPr>
        <w:t xml:space="preserve"> auf die Auslegung des Rechtsbeugungsvorsatzes aus</w:t>
      </w:r>
      <w:r w:rsidR="00B61949" w:rsidRPr="00C031EA">
        <w:rPr>
          <w:rFonts w:ascii="Times New Roman" w:hAnsi="Times New Roman" w:cs="Times New Roman"/>
          <w:sz w:val="24"/>
          <w:szCs w:val="24"/>
        </w:rPr>
        <w:t>. D</w:t>
      </w:r>
      <w:r w:rsidR="00174806" w:rsidRPr="00C031EA">
        <w:rPr>
          <w:rFonts w:ascii="Times New Roman" w:hAnsi="Times New Roman" w:cs="Times New Roman"/>
          <w:sz w:val="24"/>
          <w:szCs w:val="24"/>
        </w:rPr>
        <w:t xml:space="preserve">ie Verneinung des Strafvereitelungsvorsatzes </w:t>
      </w:r>
      <w:r w:rsidR="00B61949" w:rsidRPr="00C031EA">
        <w:rPr>
          <w:rFonts w:ascii="Times New Roman" w:hAnsi="Times New Roman" w:cs="Times New Roman"/>
          <w:sz w:val="24"/>
          <w:szCs w:val="24"/>
        </w:rPr>
        <w:t xml:space="preserve">führt nämlich </w:t>
      </w:r>
      <w:r w:rsidR="00174806" w:rsidRPr="00C031EA">
        <w:rPr>
          <w:rFonts w:ascii="Times New Roman" w:hAnsi="Times New Roman" w:cs="Times New Roman"/>
          <w:sz w:val="24"/>
          <w:szCs w:val="24"/>
        </w:rPr>
        <w:t xml:space="preserve">zu einer Ablehnung </w:t>
      </w:r>
      <w:r w:rsidR="00B61949" w:rsidRPr="00C031EA">
        <w:rPr>
          <w:rFonts w:ascii="Times New Roman" w:hAnsi="Times New Roman" w:cs="Times New Roman"/>
          <w:sz w:val="24"/>
          <w:szCs w:val="24"/>
        </w:rPr>
        <w:t xml:space="preserve">auch </w:t>
      </w:r>
      <w:r w:rsidR="00174806" w:rsidRPr="00C031EA">
        <w:rPr>
          <w:rFonts w:ascii="Times New Roman" w:hAnsi="Times New Roman" w:cs="Times New Roman"/>
          <w:sz w:val="24"/>
          <w:szCs w:val="24"/>
        </w:rPr>
        <w:t xml:space="preserve">des </w:t>
      </w:r>
      <w:r w:rsidR="00047E2B" w:rsidRPr="00C031EA">
        <w:rPr>
          <w:rFonts w:ascii="Times New Roman" w:hAnsi="Times New Roman" w:cs="Times New Roman"/>
          <w:sz w:val="24"/>
          <w:szCs w:val="24"/>
        </w:rPr>
        <w:t>Rechtsbeugungs</w:t>
      </w:r>
      <w:r w:rsidR="00174806" w:rsidRPr="00C031EA">
        <w:rPr>
          <w:rFonts w:ascii="Times New Roman" w:hAnsi="Times New Roman" w:cs="Times New Roman"/>
          <w:sz w:val="24"/>
          <w:szCs w:val="24"/>
        </w:rPr>
        <w:t xml:space="preserve">vorsatzes. </w:t>
      </w:r>
    </w:p>
    <w:p w:rsidR="00101CE9" w:rsidRPr="00C031EA" w:rsidRDefault="00047E2B" w:rsidP="00A83338">
      <w:pPr>
        <w:spacing w:before="240" w:after="0" w:line="360" w:lineRule="auto"/>
        <w:jc w:val="both"/>
        <w:rPr>
          <w:rFonts w:ascii="Times New Roman" w:hAnsi="Times New Roman" w:cs="Times New Roman"/>
          <w:sz w:val="24"/>
          <w:szCs w:val="24"/>
        </w:rPr>
      </w:pPr>
      <w:r w:rsidRPr="00C031EA">
        <w:rPr>
          <w:rFonts w:ascii="Times New Roman" w:hAnsi="Times New Roman" w:cs="Times New Roman"/>
          <w:sz w:val="24"/>
          <w:szCs w:val="24"/>
        </w:rPr>
        <w:t>Normalerweise ist es zwar genau umgekehrt, und die Rechtsbeugung bzw. deren Verneinung entfaltet gegenüber anderen Straftatbeständen eine sog. Sperrwirkung. Danach können Amtsträger wegen ihres Verhaltens bei der Leitung oder Entscheidung einer Rechtssache nur dann nach anderen Vorschriften als § 339 StGB bestraft werden, wenn zugleich auch dessen Voraussetzungen vorliegen.</w:t>
      </w:r>
      <w:r w:rsidRPr="00C031EA">
        <w:rPr>
          <w:rStyle w:val="Funotenzeichen"/>
          <w:rFonts w:ascii="Times New Roman" w:hAnsi="Times New Roman" w:cs="Times New Roman"/>
          <w:sz w:val="24"/>
          <w:szCs w:val="24"/>
        </w:rPr>
        <w:footnoteReference w:id="17"/>
      </w:r>
      <w:r w:rsidR="00174806" w:rsidRPr="00C031EA">
        <w:rPr>
          <w:rFonts w:ascii="Times New Roman" w:hAnsi="Times New Roman" w:cs="Times New Roman"/>
          <w:sz w:val="24"/>
          <w:szCs w:val="24"/>
        </w:rPr>
        <w:t xml:space="preserve"> Die </w:t>
      </w:r>
      <w:r w:rsidR="00347B7F" w:rsidRPr="00C031EA">
        <w:rPr>
          <w:rFonts w:ascii="Times New Roman" w:hAnsi="Times New Roman" w:cs="Times New Roman"/>
          <w:sz w:val="24"/>
          <w:szCs w:val="24"/>
        </w:rPr>
        <w:t xml:space="preserve">Besonderheiten </w:t>
      </w:r>
      <w:r w:rsidR="00174806" w:rsidRPr="00C031EA">
        <w:rPr>
          <w:rFonts w:ascii="Times New Roman" w:hAnsi="Times New Roman" w:cs="Times New Roman"/>
          <w:sz w:val="24"/>
          <w:szCs w:val="24"/>
        </w:rPr>
        <w:t xml:space="preserve">ergeben sich aber </w:t>
      </w:r>
      <w:r w:rsidR="00347B7F" w:rsidRPr="00C031EA">
        <w:rPr>
          <w:rFonts w:ascii="Times New Roman" w:hAnsi="Times New Roman" w:cs="Times New Roman"/>
          <w:sz w:val="24"/>
          <w:szCs w:val="24"/>
        </w:rPr>
        <w:t xml:space="preserve">aus dem Verhältnis der Rechtsbeugung und Strafvereitelung zueinander. </w:t>
      </w:r>
      <w:r w:rsidR="00B61949" w:rsidRPr="00C031EA">
        <w:rPr>
          <w:rFonts w:ascii="Times New Roman" w:hAnsi="Times New Roman" w:cs="Times New Roman"/>
          <w:sz w:val="24"/>
          <w:szCs w:val="24"/>
        </w:rPr>
        <w:t>B</w:t>
      </w:r>
      <w:r w:rsidR="00347B7F" w:rsidRPr="00C031EA">
        <w:rPr>
          <w:rFonts w:ascii="Times New Roman" w:hAnsi="Times New Roman" w:cs="Times New Roman"/>
          <w:sz w:val="24"/>
          <w:szCs w:val="24"/>
        </w:rPr>
        <w:t xml:space="preserve">esteht nämlich </w:t>
      </w:r>
      <w:r w:rsidR="00B61949" w:rsidRPr="00C031EA">
        <w:rPr>
          <w:rFonts w:ascii="Times New Roman" w:hAnsi="Times New Roman" w:cs="Times New Roman"/>
          <w:sz w:val="24"/>
          <w:szCs w:val="24"/>
        </w:rPr>
        <w:t xml:space="preserve">wie hier </w:t>
      </w:r>
      <w:r w:rsidR="00347B7F" w:rsidRPr="00C031EA">
        <w:rPr>
          <w:rFonts w:ascii="Times New Roman" w:hAnsi="Times New Roman" w:cs="Times New Roman"/>
          <w:sz w:val="24"/>
          <w:szCs w:val="24"/>
        </w:rPr>
        <w:t xml:space="preserve">zwischen beidem Tateinheit, </w:t>
      </w:r>
      <w:r w:rsidR="00B61949" w:rsidRPr="00C031EA">
        <w:rPr>
          <w:rFonts w:ascii="Times New Roman" w:hAnsi="Times New Roman" w:cs="Times New Roman"/>
          <w:sz w:val="24"/>
          <w:szCs w:val="24"/>
        </w:rPr>
        <w:t xml:space="preserve">würde </w:t>
      </w:r>
      <w:r w:rsidR="00347B7F" w:rsidRPr="00C031EA">
        <w:rPr>
          <w:rFonts w:ascii="Times New Roman" w:hAnsi="Times New Roman" w:cs="Times New Roman"/>
          <w:sz w:val="24"/>
          <w:szCs w:val="24"/>
        </w:rPr>
        <w:t xml:space="preserve">die Sperrwirkung </w:t>
      </w:r>
      <w:r w:rsidR="00174806" w:rsidRPr="00C031EA">
        <w:rPr>
          <w:rFonts w:ascii="Times New Roman" w:hAnsi="Times New Roman" w:cs="Times New Roman"/>
          <w:sz w:val="24"/>
          <w:szCs w:val="24"/>
        </w:rPr>
        <w:t xml:space="preserve">des § 339 StGB </w:t>
      </w:r>
      <w:r w:rsidR="00347B7F" w:rsidRPr="00C031EA">
        <w:rPr>
          <w:rFonts w:ascii="Times New Roman" w:hAnsi="Times New Roman" w:cs="Times New Roman"/>
          <w:sz w:val="24"/>
          <w:szCs w:val="24"/>
        </w:rPr>
        <w:t xml:space="preserve">unterlaufen, wenn man für die Rechtsbeugung eine schwächere Vorsatzform genügen ließe als für die Strafvereitelung. </w:t>
      </w:r>
      <w:r w:rsidR="0087732E" w:rsidRPr="00C031EA">
        <w:rPr>
          <w:rFonts w:ascii="Times New Roman" w:hAnsi="Times New Roman" w:cs="Times New Roman"/>
          <w:sz w:val="24"/>
          <w:szCs w:val="24"/>
        </w:rPr>
        <w:t>Zum anderen und v</w:t>
      </w:r>
      <w:r w:rsidR="00347B7F" w:rsidRPr="00C031EA">
        <w:rPr>
          <w:rFonts w:ascii="Times New Roman" w:hAnsi="Times New Roman" w:cs="Times New Roman"/>
          <w:sz w:val="24"/>
          <w:szCs w:val="24"/>
        </w:rPr>
        <w:t xml:space="preserve">or allem aber hängt die Frage, ob denn überhaupt und welches Recht gebeugt wurde, </w:t>
      </w:r>
      <w:r w:rsidR="00174806" w:rsidRPr="00C031EA">
        <w:rPr>
          <w:rFonts w:ascii="Times New Roman" w:hAnsi="Times New Roman" w:cs="Times New Roman"/>
          <w:sz w:val="24"/>
          <w:szCs w:val="24"/>
        </w:rPr>
        <w:t>jedenfalls in dieser Konstellation</w:t>
      </w:r>
      <w:r w:rsidR="00347B7F" w:rsidRPr="00C031EA">
        <w:rPr>
          <w:rFonts w:ascii="Times New Roman" w:hAnsi="Times New Roman" w:cs="Times New Roman"/>
          <w:sz w:val="24"/>
          <w:szCs w:val="24"/>
        </w:rPr>
        <w:t xml:space="preserve"> gerade davon ab, </w:t>
      </w:r>
      <w:r w:rsidR="0087732E" w:rsidRPr="00C031EA">
        <w:rPr>
          <w:rFonts w:ascii="Times New Roman" w:hAnsi="Times New Roman" w:cs="Times New Roman"/>
          <w:sz w:val="24"/>
          <w:szCs w:val="24"/>
        </w:rPr>
        <w:t xml:space="preserve">ob eine Strafvereitelung im Amt vorliegt. Der Gesetzgeber hat mit </w:t>
      </w:r>
      <w:r w:rsidR="00174806" w:rsidRPr="00C031EA">
        <w:rPr>
          <w:rFonts w:ascii="Times New Roman" w:hAnsi="Times New Roman" w:cs="Times New Roman"/>
          <w:sz w:val="24"/>
          <w:szCs w:val="24"/>
        </w:rPr>
        <w:t xml:space="preserve">§ 258a StGB </w:t>
      </w:r>
      <w:r w:rsidR="0087732E" w:rsidRPr="00C031EA">
        <w:rPr>
          <w:rFonts w:ascii="Times New Roman" w:hAnsi="Times New Roman" w:cs="Times New Roman"/>
          <w:sz w:val="24"/>
          <w:szCs w:val="24"/>
        </w:rPr>
        <w:t xml:space="preserve">eine klare Entscheidung darüber getroffen, unter welchen Voraussetzungen er einen Verstoß </w:t>
      </w:r>
      <w:r w:rsidR="00174806" w:rsidRPr="00C031EA">
        <w:rPr>
          <w:rFonts w:ascii="Times New Roman" w:hAnsi="Times New Roman" w:cs="Times New Roman"/>
          <w:sz w:val="24"/>
          <w:szCs w:val="24"/>
        </w:rPr>
        <w:t xml:space="preserve">gegen das durch den Legalitätsgrundsatz aktualisierte Willkürverbot </w:t>
      </w:r>
      <w:r w:rsidR="00BA1DA9" w:rsidRPr="00C031EA">
        <w:rPr>
          <w:rFonts w:ascii="Times New Roman" w:hAnsi="Times New Roman" w:cs="Times New Roman"/>
          <w:sz w:val="24"/>
          <w:szCs w:val="24"/>
        </w:rPr>
        <w:t>für strafwür</w:t>
      </w:r>
      <w:r w:rsidR="00A83338">
        <w:rPr>
          <w:rFonts w:ascii="Times New Roman" w:hAnsi="Times New Roman" w:cs="Times New Roman"/>
          <w:sz w:val="24"/>
          <w:szCs w:val="24"/>
        </w:rPr>
        <w:t>dig hält</w:t>
      </w:r>
      <w:r w:rsidR="00BA1DA9" w:rsidRPr="00C031EA">
        <w:rPr>
          <w:rFonts w:ascii="Times New Roman" w:hAnsi="Times New Roman" w:cs="Times New Roman"/>
          <w:sz w:val="24"/>
          <w:szCs w:val="24"/>
        </w:rPr>
        <w:t>.</w:t>
      </w:r>
      <w:r w:rsidR="0087732E" w:rsidRPr="00C031EA">
        <w:rPr>
          <w:rFonts w:ascii="Times New Roman" w:hAnsi="Times New Roman" w:cs="Times New Roman"/>
          <w:sz w:val="24"/>
          <w:szCs w:val="24"/>
        </w:rPr>
        <w:t xml:space="preserve"> </w:t>
      </w:r>
      <w:r w:rsidR="00BA1DA9" w:rsidRPr="00C031EA">
        <w:rPr>
          <w:rFonts w:ascii="Times New Roman" w:hAnsi="Times New Roman" w:cs="Times New Roman"/>
          <w:sz w:val="24"/>
          <w:szCs w:val="24"/>
        </w:rPr>
        <w:t>Daraus folgt für die Fälle, in denen zwischen</w:t>
      </w:r>
      <w:r w:rsidR="00315488" w:rsidRPr="00C031EA">
        <w:rPr>
          <w:rFonts w:ascii="Times New Roman" w:hAnsi="Times New Roman" w:cs="Times New Roman"/>
          <w:sz w:val="24"/>
          <w:szCs w:val="24"/>
        </w:rPr>
        <w:t xml:space="preserve"> § 339 StGB und §§ 258, 258a StGB Tateinheit vorliegt, </w:t>
      </w:r>
      <w:r w:rsidR="0087732E" w:rsidRPr="00C031EA">
        <w:rPr>
          <w:rFonts w:ascii="Times New Roman" w:hAnsi="Times New Roman" w:cs="Times New Roman"/>
          <w:sz w:val="24"/>
          <w:szCs w:val="24"/>
        </w:rPr>
        <w:t xml:space="preserve">zwingend, dass eine Rechtsbeugung </w:t>
      </w:r>
      <w:r w:rsidR="00315488" w:rsidRPr="00C031EA">
        <w:rPr>
          <w:rFonts w:ascii="Times New Roman" w:hAnsi="Times New Roman" w:cs="Times New Roman"/>
          <w:sz w:val="24"/>
          <w:szCs w:val="24"/>
        </w:rPr>
        <w:t xml:space="preserve">nur vorliegt, wenn der Täter im Hinblick auf die Besserstellung des Begünstigten mit direktem Vorsatz gehandelt hat. </w:t>
      </w:r>
    </w:p>
    <w:p w:rsidR="00A83338" w:rsidRDefault="00315488" w:rsidP="00A83338">
      <w:pPr>
        <w:spacing w:before="240" w:after="0" w:line="360" w:lineRule="auto"/>
        <w:jc w:val="both"/>
        <w:rPr>
          <w:rFonts w:ascii="Times New Roman" w:hAnsi="Times New Roman" w:cs="Times New Roman"/>
          <w:sz w:val="24"/>
          <w:szCs w:val="24"/>
        </w:rPr>
      </w:pPr>
      <w:r w:rsidRPr="00C031EA">
        <w:rPr>
          <w:rFonts w:ascii="Times New Roman" w:hAnsi="Times New Roman" w:cs="Times New Roman"/>
          <w:sz w:val="24"/>
          <w:szCs w:val="24"/>
        </w:rPr>
        <w:t xml:space="preserve">Gleichzeitig heißt das </w:t>
      </w:r>
      <w:r w:rsidR="00BA1DA9" w:rsidRPr="00C031EA">
        <w:rPr>
          <w:rFonts w:ascii="Times New Roman" w:hAnsi="Times New Roman" w:cs="Times New Roman"/>
          <w:sz w:val="24"/>
          <w:szCs w:val="24"/>
        </w:rPr>
        <w:t>im Umkehrschluss</w:t>
      </w:r>
      <w:r w:rsidR="00B61949" w:rsidRPr="00C031EA">
        <w:rPr>
          <w:rFonts w:ascii="Times New Roman" w:hAnsi="Times New Roman" w:cs="Times New Roman"/>
          <w:sz w:val="24"/>
          <w:szCs w:val="24"/>
        </w:rPr>
        <w:t xml:space="preserve"> aber auch</w:t>
      </w:r>
      <w:r w:rsidRPr="00C031EA">
        <w:rPr>
          <w:rFonts w:ascii="Times New Roman" w:hAnsi="Times New Roman" w:cs="Times New Roman"/>
          <w:sz w:val="24"/>
          <w:szCs w:val="24"/>
        </w:rPr>
        <w:t xml:space="preserve">, dass sich </w:t>
      </w:r>
      <w:r w:rsidR="00A3198F" w:rsidRPr="00C031EA">
        <w:rPr>
          <w:rFonts w:ascii="Times New Roman" w:hAnsi="Times New Roman" w:cs="Times New Roman"/>
          <w:sz w:val="24"/>
          <w:szCs w:val="24"/>
        </w:rPr>
        <w:t>der Rechtsbeugungsvorsatz nicht verneinen</w:t>
      </w:r>
      <w:r w:rsidRPr="00C031EA">
        <w:rPr>
          <w:rFonts w:ascii="Times New Roman" w:hAnsi="Times New Roman" w:cs="Times New Roman"/>
          <w:sz w:val="24"/>
          <w:szCs w:val="24"/>
        </w:rPr>
        <w:t xml:space="preserve"> lässt, wenn der Täter mit der Leitung oder Entscheidung einer Rechtssache zugleich eine Strafvereitelung im Amt begangen hat</w:t>
      </w:r>
      <w:r w:rsidR="00A3198F" w:rsidRPr="00C031EA">
        <w:rPr>
          <w:rFonts w:ascii="Times New Roman" w:hAnsi="Times New Roman" w:cs="Times New Roman"/>
          <w:sz w:val="24"/>
          <w:szCs w:val="24"/>
        </w:rPr>
        <w:t xml:space="preserve">. </w:t>
      </w:r>
      <w:r w:rsidRPr="00C031EA">
        <w:rPr>
          <w:rFonts w:ascii="Times New Roman" w:hAnsi="Times New Roman" w:cs="Times New Roman"/>
          <w:sz w:val="24"/>
          <w:szCs w:val="24"/>
        </w:rPr>
        <w:t xml:space="preserve">So liegt es </w:t>
      </w:r>
      <w:r w:rsidR="00101CE9" w:rsidRPr="00C031EA">
        <w:rPr>
          <w:rFonts w:ascii="Times New Roman" w:hAnsi="Times New Roman" w:cs="Times New Roman"/>
          <w:sz w:val="24"/>
          <w:szCs w:val="24"/>
        </w:rPr>
        <w:t xml:space="preserve">ganz offenkundig auch </w:t>
      </w:r>
      <w:r w:rsidRPr="00C031EA">
        <w:rPr>
          <w:rFonts w:ascii="Times New Roman" w:hAnsi="Times New Roman" w:cs="Times New Roman"/>
          <w:sz w:val="24"/>
          <w:szCs w:val="24"/>
        </w:rPr>
        <w:t>hier</w:t>
      </w:r>
      <w:r w:rsidR="00101CE9" w:rsidRPr="00C031EA">
        <w:rPr>
          <w:rFonts w:ascii="Times New Roman" w:hAnsi="Times New Roman" w:cs="Times New Roman"/>
          <w:sz w:val="24"/>
          <w:szCs w:val="24"/>
        </w:rPr>
        <w:t xml:space="preserve">. </w:t>
      </w:r>
    </w:p>
    <w:p w:rsidR="00A83338" w:rsidRPr="00A83338" w:rsidRDefault="00A83338" w:rsidP="00A83338">
      <w:pPr>
        <w:spacing w:before="240" w:after="0" w:line="360" w:lineRule="auto"/>
        <w:jc w:val="center"/>
        <w:rPr>
          <w:rFonts w:ascii="Times New Roman" w:hAnsi="Times New Roman" w:cs="Times New Roman"/>
          <w:i/>
          <w:sz w:val="24"/>
          <w:szCs w:val="24"/>
        </w:rPr>
      </w:pPr>
      <w:proofErr w:type="spellStart"/>
      <w:r w:rsidRPr="00A83338">
        <w:rPr>
          <w:rFonts w:ascii="Times New Roman" w:hAnsi="Times New Roman" w:cs="Times New Roman"/>
          <w:i/>
          <w:sz w:val="24"/>
          <w:szCs w:val="24"/>
          <w:highlight w:val="lightGray"/>
        </w:rPr>
        <w:t>StraFo</w:t>
      </w:r>
      <w:proofErr w:type="spellEnd"/>
      <w:r w:rsidRPr="00A83338">
        <w:rPr>
          <w:rFonts w:ascii="Times New Roman" w:hAnsi="Times New Roman" w:cs="Times New Roman"/>
          <w:i/>
          <w:sz w:val="24"/>
          <w:szCs w:val="24"/>
          <w:highlight w:val="lightGray"/>
        </w:rPr>
        <w:t xml:space="preserve"> 2013, 439</w:t>
      </w:r>
    </w:p>
    <w:p w:rsidR="00EA755E" w:rsidRDefault="00101CE9" w:rsidP="00A83338">
      <w:pPr>
        <w:spacing w:before="120" w:after="0" w:line="360" w:lineRule="auto"/>
        <w:jc w:val="both"/>
        <w:rPr>
          <w:rFonts w:ascii="Times New Roman" w:hAnsi="Times New Roman" w:cs="Times New Roman"/>
          <w:sz w:val="24"/>
          <w:szCs w:val="24"/>
        </w:rPr>
      </w:pPr>
      <w:r w:rsidRPr="00C031EA">
        <w:rPr>
          <w:rFonts w:ascii="Times New Roman" w:hAnsi="Times New Roman" w:cs="Times New Roman"/>
          <w:sz w:val="24"/>
          <w:szCs w:val="24"/>
        </w:rPr>
        <w:t xml:space="preserve">Der Oberstaatsanwalt hat die Anklage nicht wegen bandenmäßiger Begehung der Tat erhoben und </w:t>
      </w:r>
      <w:r w:rsidRPr="00C031EA">
        <w:rPr>
          <w:rFonts w:ascii="Times New Roman" w:hAnsi="Times New Roman" w:cs="Times New Roman"/>
          <w:i/>
          <w:sz w:val="24"/>
          <w:szCs w:val="24"/>
        </w:rPr>
        <w:t xml:space="preserve">„traf die Entscheidung“ </w:t>
      </w:r>
      <w:r w:rsidRPr="00C031EA">
        <w:rPr>
          <w:rFonts w:ascii="Times New Roman" w:hAnsi="Times New Roman" w:cs="Times New Roman"/>
          <w:sz w:val="24"/>
          <w:szCs w:val="24"/>
        </w:rPr>
        <w:t>für die etwas zu milde Bestrafung</w:t>
      </w:r>
      <w:r w:rsidR="00C077EC" w:rsidRPr="00C031EA">
        <w:rPr>
          <w:rFonts w:ascii="Times New Roman" w:hAnsi="Times New Roman" w:cs="Times New Roman"/>
          <w:sz w:val="24"/>
          <w:szCs w:val="24"/>
        </w:rPr>
        <w:t xml:space="preserve">. Noch deutlicher hätte er in eigenen Worten kaum ausdrücken können, dass er die Besserstellung des Angeklagten – wenn </w:t>
      </w:r>
      <w:r w:rsidR="00911E62" w:rsidRPr="00C031EA">
        <w:rPr>
          <w:rFonts w:ascii="Times New Roman" w:hAnsi="Times New Roman" w:cs="Times New Roman"/>
          <w:sz w:val="24"/>
          <w:szCs w:val="24"/>
        </w:rPr>
        <w:t xml:space="preserve">nur </w:t>
      </w:r>
      <w:r w:rsidR="00C077EC" w:rsidRPr="00C031EA">
        <w:rPr>
          <w:rFonts w:ascii="Times New Roman" w:hAnsi="Times New Roman" w:cs="Times New Roman"/>
          <w:sz w:val="24"/>
          <w:szCs w:val="24"/>
        </w:rPr>
        <w:t xml:space="preserve">auch als notwendiges Zwischenziel für das Erreichen seines eigentlichen Beweggrundes, </w:t>
      </w:r>
      <w:r w:rsidR="00C077EC" w:rsidRPr="00C031EA">
        <w:rPr>
          <w:rFonts w:ascii="Times New Roman" w:hAnsi="Times New Roman" w:cs="Times New Roman"/>
          <w:sz w:val="24"/>
          <w:szCs w:val="24"/>
        </w:rPr>
        <w:lastRenderedPageBreak/>
        <w:t xml:space="preserve">die Ermittlungen gegen die übrigen Bandenmitglieder nicht aufzudecken, </w:t>
      </w:r>
      <w:r w:rsidR="00FE4B97" w:rsidRPr="00C031EA">
        <w:rPr>
          <w:rFonts w:ascii="Times New Roman" w:hAnsi="Times New Roman" w:cs="Times New Roman"/>
          <w:sz w:val="24"/>
          <w:szCs w:val="24"/>
        </w:rPr>
        <w:t>erstreb</w:t>
      </w:r>
      <w:r w:rsidR="00C077EC" w:rsidRPr="00C031EA">
        <w:rPr>
          <w:rFonts w:ascii="Times New Roman" w:hAnsi="Times New Roman" w:cs="Times New Roman"/>
          <w:sz w:val="24"/>
          <w:szCs w:val="24"/>
        </w:rPr>
        <w:t>t</w:t>
      </w:r>
      <w:r w:rsidR="00C077EC" w:rsidRPr="00C031EA">
        <w:rPr>
          <w:rStyle w:val="Funotenzeichen"/>
          <w:rFonts w:ascii="Times New Roman" w:hAnsi="Times New Roman" w:cs="Times New Roman"/>
          <w:sz w:val="24"/>
          <w:szCs w:val="24"/>
        </w:rPr>
        <w:footnoteReference w:id="18"/>
      </w:r>
      <w:r w:rsidR="00C077EC" w:rsidRPr="00C031EA">
        <w:rPr>
          <w:rFonts w:ascii="Times New Roman" w:hAnsi="Times New Roman" w:cs="Times New Roman"/>
          <w:sz w:val="24"/>
          <w:szCs w:val="24"/>
        </w:rPr>
        <w:t xml:space="preserve"> </w:t>
      </w:r>
      <w:r w:rsidR="00911E62" w:rsidRPr="00C031EA">
        <w:rPr>
          <w:rFonts w:ascii="Times New Roman" w:hAnsi="Times New Roman" w:cs="Times New Roman"/>
          <w:sz w:val="24"/>
          <w:szCs w:val="24"/>
        </w:rPr>
        <w:t>zumindest</w:t>
      </w:r>
      <w:r w:rsidR="00C077EC" w:rsidRPr="00C031EA">
        <w:rPr>
          <w:rFonts w:ascii="Times New Roman" w:hAnsi="Times New Roman" w:cs="Times New Roman"/>
          <w:sz w:val="24"/>
          <w:szCs w:val="24"/>
        </w:rPr>
        <w:t xml:space="preserve"> aber als </w:t>
      </w:r>
      <w:r w:rsidR="00FE4B97" w:rsidRPr="00C031EA">
        <w:rPr>
          <w:rFonts w:ascii="Times New Roman" w:hAnsi="Times New Roman" w:cs="Times New Roman"/>
          <w:sz w:val="24"/>
          <w:szCs w:val="24"/>
        </w:rPr>
        <w:t>sichere Folge seines Handelns voraus</w:t>
      </w:r>
      <w:r w:rsidR="00C077EC" w:rsidRPr="00C031EA">
        <w:rPr>
          <w:rFonts w:ascii="Times New Roman" w:hAnsi="Times New Roman" w:cs="Times New Roman"/>
          <w:sz w:val="24"/>
          <w:szCs w:val="24"/>
        </w:rPr>
        <w:t>ge</w:t>
      </w:r>
      <w:r w:rsidR="00FE4B97" w:rsidRPr="00C031EA">
        <w:rPr>
          <w:rFonts w:ascii="Times New Roman" w:hAnsi="Times New Roman" w:cs="Times New Roman"/>
          <w:sz w:val="24"/>
          <w:szCs w:val="24"/>
        </w:rPr>
        <w:t>sehen</w:t>
      </w:r>
      <w:r w:rsidR="00C077EC" w:rsidRPr="00C031EA">
        <w:rPr>
          <w:rFonts w:ascii="Times New Roman" w:hAnsi="Times New Roman" w:cs="Times New Roman"/>
          <w:sz w:val="24"/>
          <w:szCs w:val="24"/>
        </w:rPr>
        <w:t xml:space="preserve"> hat</w:t>
      </w:r>
      <w:r w:rsidR="00FE4B97" w:rsidRPr="00C031EA">
        <w:rPr>
          <w:rFonts w:ascii="Times New Roman" w:hAnsi="Times New Roman" w:cs="Times New Roman"/>
          <w:sz w:val="24"/>
          <w:szCs w:val="24"/>
        </w:rPr>
        <w:t>.</w:t>
      </w:r>
      <w:r w:rsidR="00FE4B97" w:rsidRPr="00C031EA">
        <w:rPr>
          <w:rStyle w:val="Funotenzeichen"/>
          <w:rFonts w:ascii="Times New Roman" w:hAnsi="Times New Roman" w:cs="Times New Roman"/>
          <w:sz w:val="24"/>
          <w:szCs w:val="24"/>
        </w:rPr>
        <w:footnoteReference w:id="19"/>
      </w:r>
      <w:r w:rsidR="00A83338">
        <w:rPr>
          <w:rFonts w:ascii="Times New Roman" w:hAnsi="Times New Roman" w:cs="Times New Roman"/>
          <w:sz w:val="24"/>
          <w:szCs w:val="24"/>
        </w:rPr>
        <w:t xml:space="preserve"> Trotzdem ist natürlich nicht von vornherein auszuschließen, dass der Oberstaatsanwalt dies anders gemeint hat, gerade dann nicht, wenn man annimmt, dass er sich subjektiv tatsächlich in einer Zwangslage befunden und deshal</w:t>
      </w:r>
      <w:r w:rsidR="00EB16AE">
        <w:rPr>
          <w:rFonts w:ascii="Times New Roman" w:hAnsi="Times New Roman" w:cs="Times New Roman"/>
          <w:sz w:val="24"/>
          <w:szCs w:val="24"/>
        </w:rPr>
        <w:t>b</w:t>
      </w:r>
      <w:r w:rsidR="00A83338">
        <w:rPr>
          <w:rFonts w:ascii="Times New Roman" w:hAnsi="Times New Roman" w:cs="Times New Roman"/>
          <w:sz w:val="24"/>
          <w:szCs w:val="24"/>
        </w:rPr>
        <w:t xml:space="preserve"> </w:t>
      </w:r>
      <w:r w:rsidR="00EB16AE">
        <w:rPr>
          <w:rFonts w:ascii="Times New Roman" w:hAnsi="Times New Roman" w:cs="Times New Roman"/>
          <w:sz w:val="24"/>
          <w:szCs w:val="24"/>
        </w:rPr>
        <w:t>das aus seiner Sicht kleinere Übel gleichsam notgedrungen „in Kauf genommen“ hat. Doch um derlei festzustellen, hätte der Mann dazu befragt werden müssen. Dies zu unterlassen und die rechtliche Bewertung erst (auf Seiten der Staatsanwaltschaft) überhaupt nicht vorzunehmen und dann (auf Seiten der Generalstaatsanwaltschaft) lediglich auf eine bloße Hypothese zu stützen, lässt die Allgemeinheit, zu deren angeblichen Schutz das ganze Drama aufgeführt wurde, endgültig als Verlierer dastehen.</w:t>
      </w:r>
    </w:p>
    <w:sectPr w:rsidR="00EA755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380" w:rsidRDefault="00787380" w:rsidP="00E43D6D">
      <w:pPr>
        <w:spacing w:after="0" w:line="240" w:lineRule="auto"/>
      </w:pPr>
      <w:r>
        <w:separator/>
      </w:r>
    </w:p>
  </w:endnote>
  <w:endnote w:type="continuationSeparator" w:id="0">
    <w:p w:rsidR="00787380" w:rsidRDefault="00787380" w:rsidP="00E4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380" w:rsidRDefault="00787380" w:rsidP="00E43D6D">
      <w:pPr>
        <w:spacing w:after="0" w:line="240" w:lineRule="auto"/>
      </w:pPr>
      <w:r>
        <w:separator/>
      </w:r>
    </w:p>
  </w:footnote>
  <w:footnote w:type="continuationSeparator" w:id="0">
    <w:p w:rsidR="00787380" w:rsidRDefault="00787380" w:rsidP="00E43D6D">
      <w:pPr>
        <w:spacing w:after="0" w:line="240" w:lineRule="auto"/>
      </w:pPr>
      <w:r>
        <w:continuationSeparator/>
      </w:r>
    </w:p>
  </w:footnote>
  <w:footnote w:id="1">
    <w:p w:rsidR="00294EE1" w:rsidRPr="00C031EA" w:rsidRDefault="00294EE1" w:rsidP="00C031EA">
      <w:pPr>
        <w:pStyle w:val="Funotentext"/>
        <w:spacing w:before="120"/>
        <w:ind w:left="709" w:hanging="709"/>
        <w:rPr>
          <w:rFonts w:ascii="Times New Roman" w:hAnsi="Times New Roman" w:cs="Times New Roman"/>
          <w:i/>
        </w:rPr>
      </w:pPr>
      <w:r>
        <w:rPr>
          <w:rStyle w:val="Funotenzeichen"/>
        </w:rPr>
        <w:footnoteRef/>
      </w:r>
      <w:r>
        <w:t xml:space="preserve"> </w:t>
      </w:r>
      <w:r w:rsidR="00C6752F">
        <w:tab/>
      </w:r>
      <w:r w:rsidRPr="00C031EA">
        <w:rPr>
          <w:rFonts w:ascii="Times New Roman" w:hAnsi="Times New Roman" w:cs="Times New Roman"/>
        </w:rPr>
        <w:t xml:space="preserve">Kritisch </w:t>
      </w:r>
      <w:r w:rsidRPr="00C031EA">
        <w:rPr>
          <w:rFonts w:ascii="Times New Roman" w:hAnsi="Times New Roman" w:cs="Times New Roman"/>
          <w:i/>
        </w:rPr>
        <w:t xml:space="preserve">König, NJW </w:t>
      </w:r>
      <w:r w:rsidRPr="00C031EA">
        <w:rPr>
          <w:rFonts w:ascii="Times New Roman" w:hAnsi="Times New Roman" w:cs="Times New Roman"/>
        </w:rPr>
        <w:t>2009, 2481.</w:t>
      </w:r>
    </w:p>
  </w:footnote>
  <w:footnote w:id="2">
    <w:p w:rsidR="00B97BA3" w:rsidRPr="00C031EA" w:rsidRDefault="00B97BA3" w:rsidP="00C031EA">
      <w:pPr>
        <w:spacing w:before="120" w:after="0" w:line="240" w:lineRule="auto"/>
        <w:ind w:left="709" w:hanging="709"/>
        <w:jc w:val="both"/>
        <w:rPr>
          <w:rFonts w:ascii="Times New Roman" w:hAnsi="Times New Roman" w:cs="Times New Roman"/>
          <w:sz w:val="20"/>
          <w:szCs w:val="20"/>
        </w:rPr>
      </w:pPr>
      <w:r w:rsidRPr="00C031EA">
        <w:rPr>
          <w:rStyle w:val="Funotenzeichen"/>
          <w:rFonts w:ascii="Times New Roman" w:hAnsi="Times New Roman" w:cs="Times New Roman"/>
          <w:sz w:val="20"/>
          <w:szCs w:val="20"/>
        </w:rPr>
        <w:footnoteRef/>
      </w:r>
      <w:r w:rsidRPr="00C031EA">
        <w:rPr>
          <w:rFonts w:ascii="Times New Roman" w:hAnsi="Times New Roman" w:cs="Times New Roman"/>
          <w:sz w:val="20"/>
          <w:szCs w:val="20"/>
        </w:rPr>
        <w:t xml:space="preserve"> </w:t>
      </w:r>
      <w:r w:rsidR="00C6752F">
        <w:rPr>
          <w:rFonts w:ascii="Times New Roman" w:hAnsi="Times New Roman" w:cs="Times New Roman"/>
          <w:sz w:val="20"/>
          <w:szCs w:val="20"/>
        </w:rPr>
        <w:tab/>
      </w:r>
      <w:r w:rsidRPr="00C031EA">
        <w:rPr>
          <w:rFonts w:ascii="Times New Roman" w:hAnsi="Times New Roman" w:cs="Times New Roman"/>
          <w:sz w:val="20"/>
          <w:szCs w:val="20"/>
        </w:rPr>
        <w:t xml:space="preserve">Ob der Angeklagte bei Kenntnis der wahren Hintergründe seiner Festnahme sein Wissen offenbart und eine Strafmilderungsmöglichkeit nach § 31 BtMG bestanden hätte, ist unerheblich. Zwar ist unter dieser Prämisse wegen der Strafrahmenverschiebungen nicht auszuschließen, dass das Gericht ihn </w:t>
      </w:r>
      <w:r w:rsidR="00663DFF" w:rsidRPr="00C031EA">
        <w:rPr>
          <w:rFonts w:ascii="Times New Roman" w:hAnsi="Times New Roman" w:cs="Times New Roman"/>
          <w:sz w:val="20"/>
          <w:szCs w:val="20"/>
        </w:rPr>
        <w:t>zu einer kürzeren</w:t>
      </w:r>
      <w:r w:rsidRPr="00C031EA">
        <w:rPr>
          <w:rFonts w:ascii="Times New Roman" w:hAnsi="Times New Roman" w:cs="Times New Roman"/>
          <w:sz w:val="20"/>
          <w:szCs w:val="20"/>
        </w:rPr>
        <w:t xml:space="preserve"> Freiheitsstrafe verurteilt hätte. </w:t>
      </w:r>
      <w:r w:rsidR="00663DFF" w:rsidRPr="00C031EA">
        <w:rPr>
          <w:rFonts w:ascii="Times New Roman" w:hAnsi="Times New Roman" w:cs="Times New Roman"/>
          <w:sz w:val="20"/>
          <w:szCs w:val="20"/>
        </w:rPr>
        <w:t xml:space="preserve">Doch dann hätte sich allenfalls </w:t>
      </w:r>
      <w:r w:rsidRPr="00C031EA">
        <w:rPr>
          <w:rFonts w:ascii="Times New Roman" w:hAnsi="Times New Roman" w:cs="Times New Roman"/>
          <w:sz w:val="20"/>
          <w:szCs w:val="20"/>
        </w:rPr>
        <w:t xml:space="preserve">die Nichtanwendung von § 31 BtMG </w:t>
      </w:r>
      <w:r w:rsidR="00663DFF" w:rsidRPr="00C031EA">
        <w:rPr>
          <w:rFonts w:ascii="Times New Roman" w:hAnsi="Times New Roman" w:cs="Times New Roman"/>
          <w:sz w:val="20"/>
          <w:szCs w:val="20"/>
        </w:rPr>
        <w:t xml:space="preserve">durch das Gericht, nicht aber die verfälschte Sachverhaltsdarstellung des Staatsanwalts </w:t>
      </w:r>
      <w:r w:rsidRPr="00C031EA">
        <w:rPr>
          <w:rFonts w:ascii="Times New Roman" w:hAnsi="Times New Roman" w:cs="Times New Roman"/>
          <w:sz w:val="20"/>
          <w:szCs w:val="20"/>
        </w:rPr>
        <w:t>zuungunsten des Angeklagten ausgewirkt.</w:t>
      </w:r>
    </w:p>
  </w:footnote>
  <w:footnote w:id="3">
    <w:p w:rsidR="00725BD9" w:rsidRPr="00C031EA" w:rsidRDefault="00725BD9" w:rsidP="00C031EA">
      <w:pPr>
        <w:pStyle w:val="Funotentext"/>
        <w:spacing w:before="120"/>
        <w:ind w:left="709" w:hanging="709"/>
        <w:rPr>
          <w:rFonts w:ascii="Times New Roman" w:hAnsi="Times New Roman" w:cs="Times New Roman"/>
        </w:rPr>
      </w:pPr>
      <w:r w:rsidRPr="00C031EA">
        <w:rPr>
          <w:rStyle w:val="Funotenzeichen"/>
          <w:rFonts w:ascii="Times New Roman" w:hAnsi="Times New Roman" w:cs="Times New Roman"/>
        </w:rPr>
        <w:footnoteRef/>
      </w:r>
      <w:r w:rsidRPr="00C031EA">
        <w:rPr>
          <w:rFonts w:ascii="Times New Roman" w:hAnsi="Times New Roman" w:cs="Times New Roman"/>
        </w:rPr>
        <w:t xml:space="preserve"> </w:t>
      </w:r>
      <w:r w:rsidR="00C6752F">
        <w:rPr>
          <w:rFonts w:ascii="Times New Roman" w:hAnsi="Times New Roman" w:cs="Times New Roman"/>
        </w:rPr>
        <w:tab/>
      </w:r>
      <w:r w:rsidRPr="00C031EA">
        <w:rPr>
          <w:rFonts w:ascii="Times New Roman" w:hAnsi="Times New Roman" w:cs="Times New Roman"/>
        </w:rPr>
        <w:t xml:space="preserve">So wörtlich in der dienstlichen Stellungnahme des Oberstaatsanwalts, zitiert aus dem Bescheid der Generalstaatsanwaltschaft Oldenburg vom 04.07.2013, NZS 500 </w:t>
      </w:r>
      <w:proofErr w:type="spellStart"/>
      <w:r w:rsidRPr="00C031EA">
        <w:rPr>
          <w:rFonts w:ascii="Times New Roman" w:hAnsi="Times New Roman" w:cs="Times New Roman"/>
        </w:rPr>
        <w:t>Zs</w:t>
      </w:r>
      <w:proofErr w:type="spellEnd"/>
      <w:r w:rsidRPr="00C031EA">
        <w:rPr>
          <w:rFonts w:ascii="Times New Roman" w:hAnsi="Times New Roman" w:cs="Times New Roman"/>
        </w:rPr>
        <w:t xml:space="preserve"> 275/13.</w:t>
      </w:r>
    </w:p>
  </w:footnote>
  <w:footnote w:id="4">
    <w:p w:rsidR="00F21B27" w:rsidRPr="00C031EA" w:rsidRDefault="00F21B27" w:rsidP="00C031EA">
      <w:pPr>
        <w:pStyle w:val="Funotentext"/>
        <w:spacing w:before="120"/>
        <w:ind w:left="709" w:hanging="709"/>
        <w:rPr>
          <w:rFonts w:ascii="Times New Roman" w:hAnsi="Times New Roman" w:cs="Times New Roman"/>
        </w:rPr>
      </w:pPr>
      <w:r w:rsidRPr="00C031EA">
        <w:rPr>
          <w:rStyle w:val="Funotenzeichen"/>
          <w:rFonts w:ascii="Times New Roman" w:hAnsi="Times New Roman" w:cs="Times New Roman"/>
        </w:rPr>
        <w:footnoteRef/>
      </w:r>
      <w:r w:rsidRPr="00C031EA">
        <w:rPr>
          <w:rFonts w:ascii="Times New Roman" w:hAnsi="Times New Roman" w:cs="Times New Roman"/>
        </w:rPr>
        <w:t xml:space="preserve"> </w:t>
      </w:r>
      <w:r w:rsidR="00C6752F">
        <w:rPr>
          <w:rFonts w:ascii="Times New Roman" w:hAnsi="Times New Roman" w:cs="Times New Roman"/>
        </w:rPr>
        <w:tab/>
      </w:r>
      <w:r w:rsidRPr="00C031EA">
        <w:rPr>
          <w:rFonts w:ascii="Times New Roman" w:hAnsi="Times New Roman" w:cs="Times New Roman"/>
        </w:rPr>
        <w:t xml:space="preserve">BVerfG </w:t>
      </w:r>
      <w:proofErr w:type="spellStart"/>
      <w:r w:rsidRPr="00C031EA">
        <w:rPr>
          <w:rFonts w:ascii="Times New Roman" w:hAnsi="Times New Roman" w:cs="Times New Roman"/>
        </w:rPr>
        <w:t>StraFo</w:t>
      </w:r>
      <w:proofErr w:type="spellEnd"/>
      <w:r w:rsidRPr="00C031EA">
        <w:rPr>
          <w:rFonts w:ascii="Times New Roman" w:hAnsi="Times New Roman" w:cs="Times New Roman"/>
        </w:rPr>
        <w:t> 2013, 153.</w:t>
      </w:r>
    </w:p>
  </w:footnote>
  <w:footnote w:id="5">
    <w:p w:rsidR="00B07DBF" w:rsidRPr="00C031EA" w:rsidRDefault="00B07DBF" w:rsidP="00C031EA">
      <w:pPr>
        <w:pStyle w:val="Funotentext"/>
        <w:spacing w:before="120"/>
        <w:ind w:left="709" w:hanging="709"/>
        <w:rPr>
          <w:rFonts w:ascii="Times New Roman" w:hAnsi="Times New Roman" w:cs="Times New Roman"/>
        </w:rPr>
      </w:pPr>
      <w:r w:rsidRPr="00C031EA">
        <w:rPr>
          <w:rStyle w:val="Funotenzeichen"/>
          <w:rFonts w:ascii="Times New Roman" w:hAnsi="Times New Roman" w:cs="Times New Roman"/>
        </w:rPr>
        <w:footnoteRef/>
      </w:r>
      <w:r w:rsidRPr="00C031EA">
        <w:rPr>
          <w:rFonts w:ascii="Times New Roman" w:hAnsi="Times New Roman" w:cs="Times New Roman"/>
        </w:rPr>
        <w:t xml:space="preserve"> </w:t>
      </w:r>
      <w:r w:rsidR="00C6752F">
        <w:rPr>
          <w:rFonts w:ascii="Times New Roman" w:hAnsi="Times New Roman" w:cs="Times New Roman"/>
        </w:rPr>
        <w:tab/>
      </w:r>
      <w:r w:rsidRPr="00C031EA">
        <w:rPr>
          <w:rFonts w:ascii="Times New Roman" w:hAnsi="Times New Roman" w:cs="Times New Roman"/>
        </w:rPr>
        <w:t>BGHSt 15, 155, 159.</w:t>
      </w:r>
    </w:p>
  </w:footnote>
  <w:footnote w:id="6">
    <w:p w:rsidR="00451441" w:rsidRPr="00C031EA" w:rsidRDefault="00451441" w:rsidP="00C031EA">
      <w:pPr>
        <w:pStyle w:val="Funotentext"/>
        <w:spacing w:before="120"/>
        <w:ind w:left="709" w:hanging="709"/>
        <w:rPr>
          <w:rFonts w:ascii="Times New Roman" w:hAnsi="Times New Roman" w:cs="Times New Roman"/>
        </w:rPr>
      </w:pPr>
      <w:r w:rsidRPr="00C031EA">
        <w:rPr>
          <w:rStyle w:val="Funotenzeichen"/>
          <w:rFonts w:ascii="Times New Roman" w:hAnsi="Times New Roman" w:cs="Times New Roman"/>
        </w:rPr>
        <w:footnoteRef/>
      </w:r>
      <w:r w:rsidRPr="00C031EA">
        <w:rPr>
          <w:rFonts w:ascii="Times New Roman" w:hAnsi="Times New Roman" w:cs="Times New Roman"/>
        </w:rPr>
        <w:t xml:space="preserve"> </w:t>
      </w:r>
      <w:r w:rsidR="00C6752F">
        <w:rPr>
          <w:rFonts w:ascii="Times New Roman" w:hAnsi="Times New Roman" w:cs="Times New Roman"/>
        </w:rPr>
        <w:tab/>
      </w:r>
      <w:r w:rsidRPr="00C031EA">
        <w:rPr>
          <w:rFonts w:ascii="Times New Roman" w:hAnsi="Times New Roman" w:cs="Times New Roman"/>
          <w:i/>
        </w:rPr>
        <w:t xml:space="preserve">Hassemer, </w:t>
      </w:r>
      <w:r w:rsidRPr="00C031EA">
        <w:rPr>
          <w:rFonts w:ascii="Times New Roman" w:hAnsi="Times New Roman" w:cs="Times New Roman"/>
        </w:rPr>
        <w:t>Strafen im Rechtsstaat, 2000, S. 67.</w:t>
      </w:r>
    </w:p>
  </w:footnote>
  <w:footnote w:id="7">
    <w:p w:rsidR="009C1DBD" w:rsidRPr="00C031EA" w:rsidRDefault="009C1DBD" w:rsidP="00C031EA">
      <w:pPr>
        <w:pStyle w:val="Funotentext"/>
        <w:spacing w:before="120"/>
        <w:ind w:left="709" w:hanging="709"/>
        <w:rPr>
          <w:rFonts w:ascii="Times New Roman" w:hAnsi="Times New Roman" w:cs="Times New Roman"/>
          <w:i/>
        </w:rPr>
      </w:pPr>
      <w:r w:rsidRPr="00C031EA">
        <w:rPr>
          <w:rStyle w:val="Funotenzeichen"/>
          <w:rFonts w:ascii="Times New Roman" w:hAnsi="Times New Roman" w:cs="Times New Roman"/>
        </w:rPr>
        <w:footnoteRef/>
      </w:r>
      <w:r w:rsidRPr="00C031EA">
        <w:rPr>
          <w:rFonts w:ascii="Times New Roman" w:hAnsi="Times New Roman" w:cs="Times New Roman"/>
        </w:rPr>
        <w:t xml:space="preserve"> </w:t>
      </w:r>
      <w:r w:rsidR="00C6752F">
        <w:rPr>
          <w:rFonts w:ascii="Times New Roman" w:hAnsi="Times New Roman" w:cs="Times New Roman"/>
        </w:rPr>
        <w:tab/>
      </w:r>
      <w:r w:rsidRPr="00C031EA">
        <w:rPr>
          <w:rFonts w:ascii="Times New Roman" w:hAnsi="Times New Roman" w:cs="Times New Roman"/>
        </w:rPr>
        <w:t>BGHSt 15, 155 (159).</w:t>
      </w:r>
    </w:p>
  </w:footnote>
  <w:footnote w:id="8">
    <w:p w:rsidR="00096D8C" w:rsidRPr="00C031EA" w:rsidRDefault="00096D8C" w:rsidP="00C031EA">
      <w:pPr>
        <w:pStyle w:val="Funotentext"/>
        <w:spacing w:before="120"/>
        <w:ind w:left="709" w:hanging="709"/>
        <w:rPr>
          <w:rFonts w:ascii="Times New Roman" w:hAnsi="Times New Roman" w:cs="Times New Roman"/>
          <w:b/>
        </w:rPr>
      </w:pPr>
      <w:r w:rsidRPr="00C031EA">
        <w:rPr>
          <w:rStyle w:val="Funotenzeichen"/>
          <w:rFonts w:ascii="Times New Roman" w:hAnsi="Times New Roman" w:cs="Times New Roman"/>
        </w:rPr>
        <w:footnoteRef/>
      </w:r>
      <w:r w:rsidRPr="00C031EA">
        <w:rPr>
          <w:rFonts w:ascii="Times New Roman" w:hAnsi="Times New Roman" w:cs="Times New Roman"/>
        </w:rPr>
        <w:t xml:space="preserve"> </w:t>
      </w:r>
      <w:r w:rsidR="00C6752F">
        <w:rPr>
          <w:rFonts w:ascii="Times New Roman" w:hAnsi="Times New Roman" w:cs="Times New Roman"/>
        </w:rPr>
        <w:tab/>
      </w:r>
      <w:r w:rsidRPr="00C031EA">
        <w:rPr>
          <w:rFonts w:ascii="Times New Roman" w:hAnsi="Times New Roman" w:cs="Times New Roman"/>
        </w:rPr>
        <w:t>BVerfGE 20, 162 (222) = NJW 1966, 1603 (1615);</w:t>
      </w:r>
      <w:r w:rsidRPr="00C031EA">
        <w:rPr>
          <w:rFonts w:ascii="Times New Roman" w:hAnsi="Times New Roman" w:cs="Times New Roman"/>
          <w:b/>
        </w:rPr>
        <w:t xml:space="preserve"> </w:t>
      </w:r>
      <w:r w:rsidRPr="00C031EA">
        <w:rPr>
          <w:rFonts w:ascii="Times New Roman" w:hAnsi="Times New Roman" w:cs="Times New Roman"/>
        </w:rPr>
        <w:t>NStZ 1982, 430 („Aktualisierung des Willkürverbots“);</w:t>
      </w:r>
      <w:r w:rsidRPr="00C031EA">
        <w:rPr>
          <w:rFonts w:ascii="Times New Roman" w:hAnsi="Times New Roman" w:cs="Times New Roman"/>
          <w:i/>
        </w:rPr>
        <w:t xml:space="preserve"> Meyer-Goßner, </w:t>
      </w:r>
      <w:r w:rsidRPr="00C031EA">
        <w:rPr>
          <w:rFonts w:ascii="Times New Roman" w:hAnsi="Times New Roman" w:cs="Times New Roman"/>
        </w:rPr>
        <w:t xml:space="preserve">§ 152, </w:t>
      </w:r>
      <w:proofErr w:type="spellStart"/>
      <w:r w:rsidRPr="00C031EA">
        <w:rPr>
          <w:rFonts w:ascii="Times New Roman" w:hAnsi="Times New Roman" w:cs="Times New Roman"/>
        </w:rPr>
        <w:t>Rn</w:t>
      </w:r>
      <w:proofErr w:type="spellEnd"/>
      <w:r w:rsidRPr="00C031EA">
        <w:rPr>
          <w:rFonts w:ascii="Times New Roman" w:hAnsi="Times New Roman" w:cs="Times New Roman"/>
        </w:rPr>
        <w:t>. 2.</w:t>
      </w:r>
    </w:p>
  </w:footnote>
  <w:footnote w:id="9">
    <w:p w:rsidR="002B7F60" w:rsidRPr="00C031EA" w:rsidRDefault="002B7F60" w:rsidP="00C031EA">
      <w:pPr>
        <w:pStyle w:val="Funotentext"/>
        <w:spacing w:before="120"/>
        <w:ind w:left="709" w:hanging="709"/>
        <w:rPr>
          <w:rFonts w:ascii="Times New Roman" w:hAnsi="Times New Roman" w:cs="Times New Roman"/>
        </w:rPr>
      </w:pPr>
      <w:r w:rsidRPr="00C031EA">
        <w:rPr>
          <w:rStyle w:val="Funotenzeichen"/>
          <w:rFonts w:ascii="Times New Roman" w:hAnsi="Times New Roman" w:cs="Times New Roman"/>
        </w:rPr>
        <w:footnoteRef/>
      </w:r>
      <w:r w:rsidRPr="00C031EA">
        <w:rPr>
          <w:rFonts w:ascii="Times New Roman" w:hAnsi="Times New Roman" w:cs="Times New Roman"/>
        </w:rPr>
        <w:t xml:space="preserve"> </w:t>
      </w:r>
      <w:r w:rsidR="00C6752F">
        <w:rPr>
          <w:rFonts w:ascii="Times New Roman" w:hAnsi="Times New Roman" w:cs="Times New Roman"/>
        </w:rPr>
        <w:tab/>
      </w:r>
      <w:r w:rsidRPr="00C031EA">
        <w:rPr>
          <w:rFonts w:ascii="Times New Roman" w:hAnsi="Times New Roman" w:cs="Times New Roman"/>
        </w:rPr>
        <w:t xml:space="preserve">Brandenburgisches OLG 1 </w:t>
      </w:r>
      <w:proofErr w:type="spellStart"/>
      <w:r w:rsidRPr="00C031EA">
        <w:rPr>
          <w:rFonts w:ascii="Times New Roman" w:hAnsi="Times New Roman" w:cs="Times New Roman"/>
        </w:rPr>
        <w:t>Ws</w:t>
      </w:r>
      <w:proofErr w:type="spellEnd"/>
      <w:r w:rsidRPr="00C031EA">
        <w:rPr>
          <w:rFonts w:ascii="Times New Roman" w:hAnsi="Times New Roman" w:cs="Times New Roman"/>
        </w:rPr>
        <w:t xml:space="preserve"> 179/09, Beschluss vom 16.11.2009.</w:t>
      </w:r>
    </w:p>
  </w:footnote>
  <w:footnote w:id="10">
    <w:p w:rsidR="00D274B7" w:rsidRPr="00C031EA" w:rsidRDefault="00D274B7" w:rsidP="00C031EA">
      <w:pPr>
        <w:pStyle w:val="Funotentext"/>
        <w:spacing w:before="120"/>
        <w:ind w:left="709" w:hanging="709"/>
        <w:rPr>
          <w:rFonts w:ascii="Times New Roman" w:hAnsi="Times New Roman" w:cs="Times New Roman"/>
        </w:rPr>
      </w:pPr>
      <w:r w:rsidRPr="00C031EA">
        <w:rPr>
          <w:rStyle w:val="Funotenzeichen"/>
          <w:rFonts w:ascii="Times New Roman" w:hAnsi="Times New Roman" w:cs="Times New Roman"/>
        </w:rPr>
        <w:footnoteRef/>
      </w:r>
      <w:r w:rsidRPr="00C031EA">
        <w:rPr>
          <w:rFonts w:ascii="Times New Roman" w:hAnsi="Times New Roman" w:cs="Times New Roman"/>
        </w:rPr>
        <w:t xml:space="preserve"> </w:t>
      </w:r>
      <w:r w:rsidR="00C6752F">
        <w:rPr>
          <w:rFonts w:ascii="Times New Roman" w:hAnsi="Times New Roman" w:cs="Times New Roman"/>
        </w:rPr>
        <w:tab/>
      </w:r>
      <w:r w:rsidRPr="00C031EA">
        <w:rPr>
          <w:rFonts w:ascii="Times New Roman" w:hAnsi="Times New Roman" w:cs="Times New Roman"/>
        </w:rPr>
        <w:t>RGSt 57, 31 (33).</w:t>
      </w:r>
    </w:p>
  </w:footnote>
  <w:footnote w:id="11">
    <w:p w:rsidR="00D274B7" w:rsidRPr="00C031EA" w:rsidRDefault="00D274B7" w:rsidP="00C031EA">
      <w:pPr>
        <w:pStyle w:val="Funotentext"/>
        <w:spacing w:before="120"/>
        <w:ind w:left="709" w:hanging="709"/>
        <w:rPr>
          <w:rFonts w:ascii="Times New Roman" w:hAnsi="Times New Roman" w:cs="Times New Roman"/>
        </w:rPr>
      </w:pPr>
      <w:r w:rsidRPr="00C031EA">
        <w:rPr>
          <w:rStyle w:val="Funotenzeichen"/>
          <w:rFonts w:ascii="Times New Roman" w:hAnsi="Times New Roman" w:cs="Times New Roman"/>
        </w:rPr>
        <w:footnoteRef/>
      </w:r>
      <w:r w:rsidRPr="00C031EA">
        <w:rPr>
          <w:rFonts w:ascii="Times New Roman" w:hAnsi="Times New Roman" w:cs="Times New Roman"/>
        </w:rPr>
        <w:t xml:space="preserve"> </w:t>
      </w:r>
      <w:r w:rsidR="00C6752F">
        <w:rPr>
          <w:rFonts w:ascii="Times New Roman" w:hAnsi="Times New Roman" w:cs="Times New Roman"/>
        </w:rPr>
        <w:tab/>
      </w:r>
      <w:r w:rsidRPr="00C031EA">
        <w:rPr>
          <w:rFonts w:ascii="Times New Roman" w:hAnsi="Times New Roman" w:cs="Times New Roman"/>
        </w:rPr>
        <w:t>BGH NJW 1960, 263.</w:t>
      </w:r>
      <w:r w:rsidR="0031687D" w:rsidRPr="00C031EA">
        <w:rPr>
          <w:rFonts w:ascii="Times New Roman" w:hAnsi="Times New Roman" w:cs="Times New Roman"/>
        </w:rPr>
        <w:t xml:space="preserve"> Weiterführend zum Rechtsbeugungsvorsatz in der Rechtsprechung </w:t>
      </w:r>
      <w:r w:rsidR="0031687D" w:rsidRPr="00C031EA">
        <w:rPr>
          <w:rFonts w:ascii="Times New Roman" w:hAnsi="Times New Roman" w:cs="Times New Roman"/>
          <w:i/>
        </w:rPr>
        <w:t xml:space="preserve">Lehmann, </w:t>
      </w:r>
      <w:r w:rsidR="0031687D" w:rsidRPr="00C031EA">
        <w:rPr>
          <w:rFonts w:ascii="Times New Roman" w:hAnsi="Times New Roman" w:cs="Times New Roman"/>
        </w:rPr>
        <w:t>NStZ 2006, 127.</w:t>
      </w:r>
    </w:p>
  </w:footnote>
  <w:footnote w:id="12">
    <w:p w:rsidR="00026EA5" w:rsidRPr="00C031EA" w:rsidRDefault="00026EA5" w:rsidP="00026EA5">
      <w:pPr>
        <w:pStyle w:val="Funotentext"/>
        <w:spacing w:before="120"/>
        <w:ind w:left="709" w:hanging="709"/>
        <w:rPr>
          <w:rFonts w:ascii="Times New Roman" w:hAnsi="Times New Roman" w:cs="Times New Roman"/>
        </w:rPr>
      </w:pPr>
      <w:r w:rsidRPr="00C031EA">
        <w:rPr>
          <w:rStyle w:val="Funotenzeichen"/>
          <w:rFonts w:ascii="Times New Roman" w:hAnsi="Times New Roman" w:cs="Times New Roman"/>
        </w:rPr>
        <w:footnoteRef/>
      </w:r>
      <w:r w:rsidRPr="00C031EA">
        <w:rPr>
          <w:rFonts w:ascii="Times New Roman" w:hAnsi="Times New Roman" w:cs="Times New Roman"/>
        </w:rPr>
        <w:t xml:space="preserve"> </w:t>
      </w:r>
      <w:r w:rsidR="00C6752F">
        <w:rPr>
          <w:rFonts w:ascii="Times New Roman" w:hAnsi="Times New Roman" w:cs="Times New Roman"/>
        </w:rPr>
        <w:tab/>
      </w:r>
      <w:r w:rsidRPr="00C031EA">
        <w:rPr>
          <w:rFonts w:ascii="Times New Roman" w:hAnsi="Times New Roman" w:cs="Times New Roman"/>
        </w:rPr>
        <w:t>Zu den damit angesprochenen Abgrenzungsfragen zwischen Tatbestands-, Subsumtions- und Verbotsirrtum vgl. LK-</w:t>
      </w:r>
      <w:r w:rsidRPr="00C031EA">
        <w:rPr>
          <w:rFonts w:ascii="Times New Roman" w:hAnsi="Times New Roman" w:cs="Times New Roman"/>
          <w:i/>
        </w:rPr>
        <w:t>Hilgendorf,</w:t>
      </w:r>
      <w:r w:rsidRPr="00C031EA">
        <w:rPr>
          <w:rFonts w:ascii="Times New Roman" w:hAnsi="Times New Roman" w:cs="Times New Roman"/>
        </w:rPr>
        <w:t xml:space="preserve"> § 339, </w:t>
      </w:r>
      <w:proofErr w:type="spellStart"/>
      <w:r w:rsidRPr="00C031EA">
        <w:rPr>
          <w:rFonts w:ascii="Times New Roman" w:hAnsi="Times New Roman" w:cs="Times New Roman"/>
        </w:rPr>
        <w:t>Rn</w:t>
      </w:r>
      <w:proofErr w:type="spellEnd"/>
      <w:r w:rsidRPr="00C031EA">
        <w:rPr>
          <w:rFonts w:ascii="Times New Roman" w:hAnsi="Times New Roman" w:cs="Times New Roman"/>
        </w:rPr>
        <w:t xml:space="preserve">. 97, 111 ff.; </w:t>
      </w:r>
      <w:proofErr w:type="spellStart"/>
      <w:r w:rsidRPr="00C031EA">
        <w:rPr>
          <w:rFonts w:ascii="Times New Roman" w:hAnsi="Times New Roman" w:cs="Times New Roman"/>
        </w:rPr>
        <w:t>Müko-</w:t>
      </w:r>
      <w:r w:rsidRPr="00C031EA">
        <w:rPr>
          <w:rFonts w:ascii="Times New Roman" w:hAnsi="Times New Roman" w:cs="Times New Roman"/>
          <w:i/>
        </w:rPr>
        <w:t>Uebele</w:t>
      </w:r>
      <w:proofErr w:type="spellEnd"/>
      <w:r w:rsidRPr="00C031EA">
        <w:rPr>
          <w:rFonts w:ascii="Times New Roman" w:hAnsi="Times New Roman" w:cs="Times New Roman"/>
          <w:i/>
        </w:rPr>
        <w:t xml:space="preserve">, </w:t>
      </w:r>
      <w:r w:rsidRPr="00C031EA">
        <w:rPr>
          <w:rFonts w:ascii="Times New Roman" w:hAnsi="Times New Roman" w:cs="Times New Roman"/>
        </w:rPr>
        <w:t xml:space="preserve">§ 339, </w:t>
      </w:r>
      <w:proofErr w:type="spellStart"/>
      <w:r w:rsidRPr="00C031EA">
        <w:rPr>
          <w:rFonts w:ascii="Times New Roman" w:hAnsi="Times New Roman" w:cs="Times New Roman"/>
        </w:rPr>
        <w:t>Rn</w:t>
      </w:r>
      <w:proofErr w:type="spellEnd"/>
      <w:r w:rsidRPr="00C031EA">
        <w:rPr>
          <w:rFonts w:ascii="Times New Roman" w:hAnsi="Times New Roman" w:cs="Times New Roman"/>
        </w:rPr>
        <w:t xml:space="preserve">. 65; </w:t>
      </w:r>
      <w:proofErr w:type="spellStart"/>
      <w:r w:rsidRPr="00C031EA">
        <w:rPr>
          <w:rFonts w:ascii="Times New Roman" w:hAnsi="Times New Roman" w:cs="Times New Roman"/>
          <w:i/>
        </w:rPr>
        <w:t>Spendel</w:t>
      </w:r>
      <w:proofErr w:type="spellEnd"/>
      <w:r w:rsidRPr="00C031EA">
        <w:rPr>
          <w:rFonts w:ascii="Times New Roman" w:hAnsi="Times New Roman" w:cs="Times New Roman"/>
          <w:i/>
        </w:rPr>
        <w:t xml:space="preserve">, </w:t>
      </w:r>
      <w:r w:rsidRPr="00C031EA">
        <w:rPr>
          <w:rFonts w:ascii="Times New Roman" w:hAnsi="Times New Roman" w:cs="Times New Roman"/>
        </w:rPr>
        <w:t>GS-Radbruch, S. 312 (315 ff.).</w:t>
      </w:r>
      <w:r w:rsidRPr="00C031EA">
        <w:rPr>
          <w:rFonts w:ascii="Times New Roman" w:hAnsi="Times New Roman" w:cs="Times New Roman"/>
          <w:i/>
        </w:rPr>
        <w:t xml:space="preserve">  </w:t>
      </w:r>
    </w:p>
  </w:footnote>
  <w:footnote w:id="13">
    <w:p w:rsidR="00B8698B" w:rsidRPr="00C031EA" w:rsidRDefault="00B8698B" w:rsidP="00C031EA">
      <w:pPr>
        <w:pStyle w:val="Funotentext"/>
        <w:spacing w:before="120"/>
        <w:ind w:left="709" w:hanging="709"/>
        <w:rPr>
          <w:rFonts w:ascii="Times New Roman" w:hAnsi="Times New Roman" w:cs="Times New Roman"/>
        </w:rPr>
      </w:pPr>
      <w:r w:rsidRPr="00C031EA">
        <w:rPr>
          <w:rStyle w:val="Funotenzeichen"/>
          <w:rFonts w:ascii="Times New Roman" w:hAnsi="Times New Roman" w:cs="Times New Roman"/>
        </w:rPr>
        <w:footnoteRef/>
      </w:r>
      <w:r w:rsidRPr="00C031EA">
        <w:rPr>
          <w:rFonts w:ascii="Times New Roman" w:hAnsi="Times New Roman" w:cs="Times New Roman"/>
        </w:rPr>
        <w:t xml:space="preserve"> </w:t>
      </w:r>
      <w:r w:rsidR="00C6752F">
        <w:rPr>
          <w:rFonts w:ascii="Times New Roman" w:hAnsi="Times New Roman" w:cs="Times New Roman"/>
        </w:rPr>
        <w:tab/>
      </w:r>
      <w:r w:rsidRPr="00C031EA">
        <w:rPr>
          <w:rFonts w:ascii="Times New Roman" w:hAnsi="Times New Roman" w:cs="Times New Roman"/>
        </w:rPr>
        <w:t>BGHSt 41, 247 = StV 1996, 34.</w:t>
      </w:r>
    </w:p>
  </w:footnote>
  <w:footnote w:id="14">
    <w:p w:rsidR="00D94FDC" w:rsidRPr="00C031EA" w:rsidRDefault="00D94FDC" w:rsidP="00C031EA">
      <w:pPr>
        <w:pStyle w:val="Funotentext"/>
        <w:spacing w:before="120"/>
        <w:ind w:left="709" w:hanging="709"/>
        <w:rPr>
          <w:rFonts w:ascii="Times New Roman" w:hAnsi="Times New Roman" w:cs="Times New Roman"/>
        </w:rPr>
      </w:pPr>
      <w:r w:rsidRPr="00C031EA">
        <w:rPr>
          <w:rStyle w:val="Funotenzeichen"/>
          <w:rFonts w:ascii="Times New Roman" w:hAnsi="Times New Roman" w:cs="Times New Roman"/>
        </w:rPr>
        <w:footnoteRef/>
      </w:r>
      <w:r w:rsidRPr="00C031EA">
        <w:rPr>
          <w:rFonts w:ascii="Times New Roman" w:hAnsi="Times New Roman" w:cs="Times New Roman"/>
        </w:rPr>
        <w:t xml:space="preserve"> </w:t>
      </w:r>
      <w:r w:rsidR="00C6752F">
        <w:rPr>
          <w:rFonts w:ascii="Times New Roman" w:hAnsi="Times New Roman" w:cs="Times New Roman"/>
        </w:rPr>
        <w:tab/>
      </w:r>
      <w:r w:rsidRPr="00C031EA">
        <w:rPr>
          <w:rFonts w:ascii="Times New Roman" w:hAnsi="Times New Roman" w:cs="Times New Roman"/>
        </w:rPr>
        <w:t xml:space="preserve">Generalstaatsanwaltschaft Oldenburg, Bescheid vom 04.07.2013, NZS 500 </w:t>
      </w:r>
      <w:proofErr w:type="spellStart"/>
      <w:r w:rsidRPr="00C031EA">
        <w:rPr>
          <w:rFonts w:ascii="Times New Roman" w:hAnsi="Times New Roman" w:cs="Times New Roman"/>
        </w:rPr>
        <w:t>Zs</w:t>
      </w:r>
      <w:proofErr w:type="spellEnd"/>
      <w:r w:rsidRPr="00C031EA">
        <w:rPr>
          <w:rFonts w:ascii="Times New Roman" w:hAnsi="Times New Roman" w:cs="Times New Roman"/>
        </w:rPr>
        <w:t xml:space="preserve"> 275/13.</w:t>
      </w:r>
    </w:p>
  </w:footnote>
  <w:footnote w:id="15">
    <w:p w:rsidR="00EB1B36" w:rsidRPr="00C031EA" w:rsidRDefault="00EB1B36" w:rsidP="00C031EA">
      <w:pPr>
        <w:pStyle w:val="Funotentext"/>
        <w:spacing w:before="120"/>
        <w:ind w:left="709" w:hanging="709"/>
        <w:rPr>
          <w:rFonts w:ascii="Times New Roman" w:hAnsi="Times New Roman" w:cs="Times New Roman"/>
        </w:rPr>
      </w:pPr>
      <w:r w:rsidRPr="00C031EA">
        <w:rPr>
          <w:rStyle w:val="Funotenzeichen"/>
          <w:rFonts w:ascii="Times New Roman" w:hAnsi="Times New Roman" w:cs="Times New Roman"/>
        </w:rPr>
        <w:footnoteRef/>
      </w:r>
      <w:r w:rsidRPr="00C031EA">
        <w:rPr>
          <w:rFonts w:ascii="Times New Roman" w:hAnsi="Times New Roman" w:cs="Times New Roman"/>
        </w:rPr>
        <w:t xml:space="preserve"> </w:t>
      </w:r>
      <w:r w:rsidR="00C6752F">
        <w:rPr>
          <w:rFonts w:ascii="Times New Roman" w:hAnsi="Times New Roman" w:cs="Times New Roman"/>
        </w:rPr>
        <w:tab/>
      </w:r>
      <w:r w:rsidRPr="00C031EA">
        <w:rPr>
          <w:rFonts w:ascii="Times New Roman" w:hAnsi="Times New Roman" w:cs="Times New Roman"/>
        </w:rPr>
        <w:t>EGStGB 1974, BGBl. I, 469</w:t>
      </w:r>
    </w:p>
  </w:footnote>
  <w:footnote w:id="16">
    <w:p w:rsidR="001E4BFC" w:rsidRPr="00C031EA" w:rsidRDefault="001E4BFC" w:rsidP="00C031EA">
      <w:pPr>
        <w:pStyle w:val="Funotentext"/>
        <w:spacing w:before="120"/>
        <w:ind w:left="709" w:hanging="709"/>
        <w:rPr>
          <w:rFonts w:ascii="Times New Roman" w:hAnsi="Times New Roman" w:cs="Times New Roman"/>
        </w:rPr>
      </w:pPr>
      <w:r w:rsidRPr="00C031EA">
        <w:rPr>
          <w:rStyle w:val="Funotenzeichen"/>
          <w:rFonts w:ascii="Times New Roman" w:hAnsi="Times New Roman" w:cs="Times New Roman"/>
        </w:rPr>
        <w:footnoteRef/>
      </w:r>
      <w:r w:rsidRPr="00C031EA">
        <w:rPr>
          <w:rFonts w:ascii="Times New Roman" w:hAnsi="Times New Roman" w:cs="Times New Roman"/>
        </w:rPr>
        <w:t xml:space="preserve"> </w:t>
      </w:r>
      <w:r w:rsidR="00C6752F">
        <w:rPr>
          <w:rFonts w:ascii="Times New Roman" w:hAnsi="Times New Roman" w:cs="Times New Roman"/>
        </w:rPr>
        <w:tab/>
      </w:r>
      <w:r w:rsidRPr="00C031EA">
        <w:rPr>
          <w:rFonts w:ascii="Times New Roman" w:hAnsi="Times New Roman" w:cs="Times New Roman"/>
          <w:i/>
        </w:rPr>
        <w:t xml:space="preserve">Stein/Rudolphi, </w:t>
      </w:r>
      <w:r w:rsidRPr="00C031EA">
        <w:rPr>
          <w:rFonts w:ascii="Times New Roman" w:hAnsi="Times New Roman" w:cs="Times New Roman"/>
        </w:rPr>
        <w:t xml:space="preserve">SK-StGB, § 339 </w:t>
      </w:r>
      <w:proofErr w:type="spellStart"/>
      <w:r w:rsidRPr="00C031EA">
        <w:rPr>
          <w:rFonts w:ascii="Times New Roman" w:hAnsi="Times New Roman" w:cs="Times New Roman"/>
        </w:rPr>
        <w:t>Rn</w:t>
      </w:r>
      <w:proofErr w:type="spellEnd"/>
      <w:r w:rsidRPr="00C031EA">
        <w:rPr>
          <w:rFonts w:ascii="Times New Roman" w:hAnsi="Times New Roman" w:cs="Times New Roman"/>
        </w:rPr>
        <w:t xml:space="preserve">. 1; </w:t>
      </w:r>
      <w:r w:rsidRPr="00C031EA">
        <w:rPr>
          <w:rFonts w:ascii="Times New Roman" w:hAnsi="Times New Roman" w:cs="Times New Roman"/>
          <w:i/>
        </w:rPr>
        <w:t xml:space="preserve">Hupe, </w:t>
      </w:r>
      <w:r w:rsidRPr="00C031EA">
        <w:rPr>
          <w:rFonts w:ascii="Times New Roman" w:hAnsi="Times New Roman" w:cs="Times New Roman"/>
        </w:rPr>
        <w:t xml:space="preserve">Der Rechtsbeugungsvorsatz </w:t>
      </w:r>
      <w:r w:rsidR="00F873BA" w:rsidRPr="00C031EA">
        <w:rPr>
          <w:rFonts w:ascii="Times New Roman" w:hAnsi="Times New Roman" w:cs="Times New Roman"/>
        </w:rPr>
        <w:t>1995, S. 38.</w:t>
      </w:r>
    </w:p>
  </w:footnote>
  <w:footnote w:id="17">
    <w:p w:rsidR="00047E2B" w:rsidRPr="00C031EA" w:rsidRDefault="00047E2B" w:rsidP="00C031EA">
      <w:pPr>
        <w:pStyle w:val="Funotentext"/>
        <w:spacing w:before="120"/>
        <w:ind w:left="709" w:hanging="709"/>
        <w:rPr>
          <w:rFonts w:ascii="Times New Roman" w:hAnsi="Times New Roman" w:cs="Times New Roman"/>
        </w:rPr>
      </w:pPr>
      <w:r w:rsidRPr="00C031EA">
        <w:rPr>
          <w:rStyle w:val="Funotenzeichen"/>
          <w:rFonts w:ascii="Times New Roman" w:hAnsi="Times New Roman" w:cs="Times New Roman"/>
        </w:rPr>
        <w:footnoteRef/>
      </w:r>
      <w:r w:rsidRPr="00C031EA">
        <w:rPr>
          <w:rFonts w:ascii="Times New Roman" w:hAnsi="Times New Roman" w:cs="Times New Roman"/>
        </w:rPr>
        <w:t xml:space="preserve"> </w:t>
      </w:r>
      <w:r w:rsidR="00C6752F">
        <w:rPr>
          <w:rFonts w:ascii="Times New Roman" w:hAnsi="Times New Roman" w:cs="Times New Roman"/>
        </w:rPr>
        <w:tab/>
      </w:r>
      <w:r w:rsidRPr="00C031EA">
        <w:rPr>
          <w:rFonts w:ascii="Times New Roman" w:hAnsi="Times New Roman" w:cs="Times New Roman"/>
        </w:rPr>
        <w:t>OLG Karlsruhe NStZ-RR 2005, 12 (13) speziell zum Verhältnis von § 339 StGB und § 258a StGB.</w:t>
      </w:r>
    </w:p>
  </w:footnote>
  <w:footnote w:id="18">
    <w:p w:rsidR="00C077EC" w:rsidRPr="00C031EA" w:rsidRDefault="00C077EC" w:rsidP="00C031EA">
      <w:pPr>
        <w:pStyle w:val="Funotentext"/>
        <w:spacing w:before="120"/>
        <w:ind w:left="709" w:hanging="709"/>
        <w:rPr>
          <w:rFonts w:ascii="Times New Roman" w:hAnsi="Times New Roman" w:cs="Times New Roman"/>
        </w:rPr>
      </w:pPr>
      <w:r w:rsidRPr="00C031EA">
        <w:rPr>
          <w:rStyle w:val="Funotenzeichen"/>
          <w:rFonts w:ascii="Times New Roman" w:hAnsi="Times New Roman" w:cs="Times New Roman"/>
        </w:rPr>
        <w:footnoteRef/>
      </w:r>
      <w:r w:rsidRPr="00C031EA">
        <w:rPr>
          <w:rFonts w:ascii="Times New Roman" w:hAnsi="Times New Roman" w:cs="Times New Roman"/>
        </w:rPr>
        <w:t xml:space="preserve"> </w:t>
      </w:r>
      <w:r w:rsidR="00C6752F">
        <w:rPr>
          <w:rFonts w:ascii="Times New Roman" w:hAnsi="Times New Roman" w:cs="Times New Roman"/>
        </w:rPr>
        <w:tab/>
      </w:r>
      <w:r w:rsidRPr="00C031EA">
        <w:rPr>
          <w:rFonts w:ascii="Times New Roman" w:hAnsi="Times New Roman" w:cs="Times New Roman"/>
        </w:rPr>
        <w:t>BGHSt 4, 107 (109) für § 257 StGB a.F.</w:t>
      </w:r>
    </w:p>
  </w:footnote>
  <w:footnote w:id="19">
    <w:p w:rsidR="00FE4B97" w:rsidRPr="00C031EA" w:rsidRDefault="00FE4B97" w:rsidP="00C031EA">
      <w:pPr>
        <w:pStyle w:val="Funotentext"/>
        <w:spacing w:before="120"/>
        <w:ind w:left="709" w:hanging="709"/>
        <w:rPr>
          <w:rFonts w:ascii="Times New Roman" w:hAnsi="Times New Roman" w:cs="Times New Roman"/>
        </w:rPr>
      </w:pPr>
      <w:r w:rsidRPr="00C031EA">
        <w:rPr>
          <w:rStyle w:val="Funotenzeichen"/>
          <w:rFonts w:ascii="Times New Roman" w:hAnsi="Times New Roman" w:cs="Times New Roman"/>
        </w:rPr>
        <w:footnoteRef/>
      </w:r>
      <w:r w:rsidRPr="00C031EA">
        <w:rPr>
          <w:rFonts w:ascii="Times New Roman" w:hAnsi="Times New Roman" w:cs="Times New Roman"/>
        </w:rPr>
        <w:t xml:space="preserve"> </w:t>
      </w:r>
      <w:r w:rsidR="00C6752F">
        <w:rPr>
          <w:rFonts w:ascii="Times New Roman" w:hAnsi="Times New Roman" w:cs="Times New Roman"/>
        </w:rPr>
        <w:tab/>
      </w:r>
      <w:r w:rsidRPr="00C031EA">
        <w:rPr>
          <w:rFonts w:ascii="Times New Roman" w:hAnsi="Times New Roman" w:cs="Times New Roman"/>
          <w:i/>
        </w:rPr>
        <w:t xml:space="preserve">Fischer, </w:t>
      </w:r>
      <w:r w:rsidRPr="00C031EA">
        <w:rPr>
          <w:rFonts w:ascii="Times New Roman" w:hAnsi="Times New Roman" w:cs="Times New Roman"/>
        </w:rPr>
        <w:t xml:space="preserve">§ 258, </w:t>
      </w:r>
      <w:proofErr w:type="spellStart"/>
      <w:r w:rsidRPr="00C031EA">
        <w:rPr>
          <w:rFonts w:ascii="Times New Roman" w:hAnsi="Times New Roman" w:cs="Times New Roman"/>
        </w:rPr>
        <w:t>Rn</w:t>
      </w:r>
      <w:proofErr w:type="spellEnd"/>
      <w:r w:rsidRPr="00C031EA">
        <w:rPr>
          <w:rFonts w:ascii="Times New Roman" w:hAnsi="Times New Roman" w:cs="Times New Roman"/>
        </w:rPr>
        <w:t>.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BE21F7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5D22B9E"/>
    <w:multiLevelType w:val="hybridMultilevel"/>
    <w:tmpl w:val="BD447AF8"/>
    <w:lvl w:ilvl="0" w:tplc="7A8A746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694BDB"/>
    <w:multiLevelType w:val="hybridMultilevel"/>
    <w:tmpl w:val="C66467C6"/>
    <w:lvl w:ilvl="0" w:tplc="9DCE754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2F"/>
    <w:rsid w:val="000100A2"/>
    <w:rsid w:val="00020CA1"/>
    <w:rsid w:val="000246D4"/>
    <w:rsid w:val="00026594"/>
    <w:rsid w:val="00026610"/>
    <w:rsid w:val="00026EA5"/>
    <w:rsid w:val="00031519"/>
    <w:rsid w:val="00032725"/>
    <w:rsid w:val="00035858"/>
    <w:rsid w:val="000365EE"/>
    <w:rsid w:val="00043CCC"/>
    <w:rsid w:val="00044AAE"/>
    <w:rsid w:val="00047E2B"/>
    <w:rsid w:val="00050EFC"/>
    <w:rsid w:val="00061D63"/>
    <w:rsid w:val="00067ED6"/>
    <w:rsid w:val="00076B45"/>
    <w:rsid w:val="00077027"/>
    <w:rsid w:val="00080159"/>
    <w:rsid w:val="00081381"/>
    <w:rsid w:val="000836D2"/>
    <w:rsid w:val="0008510D"/>
    <w:rsid w:val="000933FA"/>
    <w:rsid w:val="00096D8C"/>
    <w:rsid w:val="000A1C40"/>
    <w:rsid w:val="000A1CCC"/>
    <w:rsid w:val="000B1BD9"/>
    <w:rsid w:val="000C5806"/>
    <w:rsid w:val="000C60DE"/>
    <w:rsid w:val="000D5AAD"/>
    <w:rsid w:val="000E2E97"/>
    <w:rsid w:val="000F1601"/>
    <w:rsid w:val="00101CE9"/>
    <w:rsid w:val="00111CFE"/>
    <w:rsid w:val="00127F4E"/>
    <w:rsid w:val="00130253"/>
    <w:rsid w:val="001323D4"/>
    <w:rsid w:val="001329F7"/>
    <w:rsid w:val="00142414"/>
    <w:rsid w:val="001463B4"/>
    <w:rsid w:val="00174806"/>
    <w:rsid w:val="00176B9E"/>
    <w:rsid w:val="001C0AC3"/>
    <w:rsid w:val="001E4BFC"/>
    <w:rsid w:val="001E551E"/>
    <w:rsid w:val="002162F3"/>
    <w:rsid w:val="00216B11"/>
    <w:rsid w:val="00220DEC"/>
    <w:rsid w:val="0022506E"/>
    <w:rsid w:val="002430A4"/>
    <w:rsid w:val="0024688E"/>
    <w:rsid w:val="00265AD3"/>
    <w:rsid w:val="00270C54"/>
    <w:rsid w:val="00273A42"/>
    <w:rsid w:val="0028031C"/>
    <w:rsid w:val="0028304B"/>
    <w:rsid w:val="00292712"/>
    <w:rsid w:val="00294EE1"/>
    <w:rsid w:val="002975D6"/>
    <w:rsid w:val="002A41A9"/>
    <w:rsid w:val="002A41E6"/>
    <w:rsid w:val="002A58CA"/>
    <w:rsid w:val="002A6F07"/>
    <w:rsid w:val="002B4A40"/>
    <w:rsid w:val="002B7F60"/>
    <w:rsid w:val="002C20F0"/>
    <w:rsid w:val="002D3687"/>
    <w:rsid w:val="002E51F7"/>
    <w:rsid w:val="002E6CD4"/>
    <w:rsid w:val="002F0806"/>
    <w:rsid w:val="00300961"/>
    <w:rsid w:val="0030301B"/>
    <w:rsid w:val="003112BD"/>
    <w:rsid w:val="00311CCC"/>
    <w:rsid w:val="00315488"/>
    <w:rsid w:val="0031687D"/>
    <w:rsid w:val="003267F4"/>
    <w:rsid w:val="00326C79"/>
    <w:rsid w:val="0033279C"/>
    <w:rsid w:val="00347269"/>
    <w:rsid w:val="00347B7F"/>
    <w:rsid w:val="00381495"/>
    <w:rsid w:val="00384FF5"/>
    <w:rsid w:val="003B6390"/>
    <w:rsid w:val="003B6AE4"/>
    <w:rsid w:val="003B708D"/>
    <w:rsid w:val="003B7839"/>
    <w:rsid w:val="003C557F"/>
    <w:rsid w:val="003D30F2"/>
    <w:rsid w:val="003D3E50"/>
    <w:rsid w:val="003F13A6"/>
    <w:rsid w:val="003F6729"/>
    <w:rsid w:val="00400F95"/>
    <w:rsid w:val="00407B67"/>
    <w:rsid w:val="004301A8"/>
    <w:rsid w:val="00450C26"/>
    <w:rsid w:val="00451441"/>
    <w:rsid w:val="00476875"/>
    <w:rsid w:val="00480F56"/>
    <w:rsid w:val="004839D9"/>
    <w:rsid w:val="0048527C"/>
    <w:rsid w:val="004932D6"/>
    <w:rsid w:val="004939F8"/>
    <w:rsid w:val="0049419D"/>
    <w:rsid w:val="004A0E26"/>
    <w:rsid w:val="004B0A97"/>
    <w:rsid w:val="004B701E"/>
    <w:rsid w:val="004C1452"/>
    <w:rsid w:val="004C4946"/>
    <w:rsid w:val="004C7CB8"/>
    <w:rsid w:val="004D2C54"/>
    <w:rsid w:val="004D3099"/>
    <w:rsid w:val="004D3E68"/>
    <w:rsid w:val="004D6662"/>
    <w:rsid w:val="004E14B1"/>
    <w:rsid w:val="004E5500"/>
    <w:rsid w:val="00507D6D"/>
    <w:rsid w:val="005108B7"/>
    <w:rsid w:val="00516596"/>
    <w:rsid w:val="00525431"/>
    <w:rsid w:val="00526703"/>
    <w:rsid w:val="00531F61"/>
    <w:rsid w:val="00546C5D"/>
    <w:rsid w:val="005563C6"/>
    <w:rsid w:val="00561AE3"/>
    <w:rsid w:val="005841C1"/>
    <w:rsid w:val="00584BBE"/>
    <w:rsid w:val="00586F7C"/>
    <w:rsid w:val="00587538"/>
    <w:rsid w:val="00596FB1"/>
    <w:rsid w:val="00597B4C"/>
    <w:rsid w:val="005A22E3"/>
    <w:rsid w:val="005B17E4"/>
    <w:rsid w:val="005B195A"/>
    <w:rsid w:val="005B314B"/>
    <w:rsid w:val="005B447C"/>
    <w:rsid w:val="005B5270"/>
    <w:rsid w:val="005C1DF2"/>
    <w:rsid w:val="005E182F"/>
    <w:rsid w:val="005E3903"/>
    <w:rsid w:val="005F4047"/>
    <w:rsid w:val="006037AC"/>
    <w:rsid w:val="00607281"/>
    <w:rsid w:val="00616E31"/>
    <w:rsid w:val="00620803"/>
    <w:rsid w:val="00622853"/>
    <w:rsid w:val="00622F7D"/>
    <w:rsid w:val="00632EE9"/>
    <w:rsid w:val="00643431"/>
    <w:rsid w:val="006524F1"/>
    <w:rsid w:val="006636B9"/>
    <w:rsid w:val="00663DFF"/>
    <w:rsid w:val="0067170B"/>
    <w:rsid w:val="00671FF5"/>
    <w:rsid w:val="00680839"/>
    <w:rsid w:val="00683D05"/>
    <w:rsid w:val="00693DCC"/>
    <w:rsid w:val="00696506"/>
    <w:rsid w:val="006A38C7"/>
    <w:rsid w:val="006B028B"/>
    <w:rsid w:val="006C32CC"/>
    <w:rsid w:val="006D2DDE"/>
    <w:rsid w:val="006E4044"/>
    <w:rsid w:val="006F4895"/>
    <w:rsid w:val="006F4C86"/>
    <w:rsid w:val="00700CDF"/>
    <w:rsid w:val="00701D73"/>
    <w:rsid w:val="00703DBA"/>
    <w:rsid w:val="00725BD9"/>
    <w:rsid w:val="007376C7"/>
    <w:rsid w:val="007379A2"/>
    <w:rsid w:val="00740442"/>
    <w:rsid w:val="0074140D"/>
    <w:rsid w:val="00771E88"/>
    <w:rsid w:val="00787380"/>
    <w:rsid w:val="0079307C"/>
    <w:rsid w:val="00795F1B"/>
    <w:rsid w:val="007A1672"/>
    <w:rsid w:val="007A19DC"/>
    <w:rsid w:val="007A1F88"/>
    <w:rsid w:val="007A440E"/>
    <w:rsid w:val="007B1ACB"/>
    <w:rsid w:val="007B45A7"/>
    <w:rsid w:val="007B71AA"/>
    <w:rsid w:val="007B7E38"/>
    <w:rsid w:val="007C770E"/>
    <w:rsid w:val="007D0967"/>
    <w:rsid w:val="007D1A33"/>
    <w:rsid w:val="007D1D70"/>
    <w:rsid w:val="007D55F8"/>
    <w:rsid w:val="007D61FD"/>
    <w:rsid w:val="00802C0A"/>
    <w:rsid w:val="0080424F"/>
    <w:rsid w:val="0083469F"/>
    <w:rsid w:val="00835097"/>
    <w:rsid w:val="00835318"/>
    <w:rsid w:val="008509CA"/>
    <w:rsid w:val="00854083"/>
    <w:rsid w:val="008561EC"/>
    <w:rsid w:val="0086185A"/>
    <w:rsid w:val="008730C8"/>
    <w:rsid w:val="00876A9F"/>
    <w:rsid w:val="0087732E"/>
    <w:rsid w:val="008863A9"/>
    <w:rsid w:val="00890543"/>
    <w:rsid w:val="00890E08"/>
    <w:rsid w:val="00893CEA"/>
    <w:rsid w:val="00895ACB"/>
    <w:rsid w:val="0089684E"/>
    <w:rsid w:val="008A3266"/>
    <w:rsid w:val="008A362E"/>
    <w:rsid w:val="008B2BD8"/>
    <w:rsid w:val="008B5CD5"/>
    <w:rsid w:val="008D6ADB"/>
    <w:rsid w:val="008F4803"/>
    <w:rsid w:val="0090473E"/>
    <w:rsid w:val="00911E62"/>
    <w:rsid w:val="00912C7A"/>
    <w:rsid w:val="00913FF0"/>
    <w:rsid w:val="0091577B"/>
    <w:rsid w:val="00921158"/>
    <w:rsid w:val="00921934"/>
    <w:rsid w:val="00922756"/>
    <w:rsid w:val="00927B2D"/>
    <w:rsid w:val="0093301B"/>
    <w:rsid w:val="00946134"/>
    <w:rsid w:val="0095057E"/>
    <w:rsid w:val="00951F50"/>
    <w:rsid w:val="009570E6"/>
    <w:rsid w:val="0096026C"/>
    <w:rsid w:val="00961CE1"/>
    <w:rsid w:val="0096374B"/>
    <w:rsid w:val="00963C19"/>
    <w:rsid w:val="00970C16"/>
    <w:rsid w:val="00977DA4"/>
    <w:rsid w:val="00981ACA"/>
    <w:rsid w:val="009849BD"/>
    <w:rsid w:val="009874BF"/>
    <w:rsid w:val="00992326"/>
    <w:rsid w:val="009958C0"/>
    <w:rsid w:val="009A0FC1"/>
    <w:rsid w:val="009B3175"/>
    <w:rsid w:val="009B427C"/>
    <w:rsid w:val="009B7FE4"/>
    <w:rsid w:val="009C1994"/>
    <w:rsid w:val="009C1DBD"/>
    <w:rsid w:val="009D2D1A"/>
    <w:rsid w:val="009D4740"/>
    <w:rsid w:val="009E6F78"/>
    <w:rsid w:val="009F3884"/>
    <w:rsid w:val="009F5B5C"/>
    <w:rsid w:val="00A02680"/>
    <w:rsid w:val="00A07B59"/>
    <w:rsid w:val="00A11BF0"/>
    <w:rsid w:val="00A13DDC"/>
    <w:rsid w:val="00A176A6"/>
    <w:rsid w:val="00A20E10"/>
    <w:rsid w:val="00A22F58"/>
    <w:rsid w:val="00A3000F"/>
    <w:rsid w:val="00A3198F"/>
    <w:rsid w:val="00A353AC"/>
    <w:rsid w:val="00A47EAB"/>
    <w:rsid w:val="00A50970"/>
    <w:rsid w:val="00A54E56"/>
    <w:rsid w:val="00A55591"/>
    <w:rsid w:val="00A80D55"/>
    <w:rsid w:val="00A83338"/>
    <w:rsid w:val="00A83FC8"/>
    <w:rsid w:val="00A93355"/>
    <w:rsid w:val="00A94258"/>
    <w:rsid w:val="00AA3FB8"/>
    <w:rsid w:val="00AB18EC"/>
    <w:rsid w:val="00AB2D3B"/>
    <w:rsid w:val="00AC3A64"/>
    <w:rsid w:val="00AC4DD5"/>
    <w:rsid w:val="00AD454F"/>
    <w:rsid w:val="00AE7D84"/>
    <w:rsid w:val="00AF244F"/>
    <w:rsid w:val="00AF2C71"/>
    <w:rsid w:val="00AF35A7"/>
    <w:rsid w:val="00AF38A2"/>
    <w:rsid w:val="00B00572"/>
    <w:rsid w:val="00B05567"/>
    <w:rsid w:val="00B07707"/>
    <w:rsid w:val="00B07DBF"/>
    <w:rsid w:val="00B17F35"/>
    <w:rsid w:val="00B25A6B"/>
    <w:rsid w:val="00B318DA"/>
    <w:rsid w:val="00B346B0"/>
    <w:rsid w:val="00B36557"/>
    <w:rsid w:val="00B370AD"/>
    <w:rsid w:val="00B40197"/>
    <w:rsid w:val="00B45660"/>
    <w:rsid w:val="00B46790"/>
    <w:rsid w:val="00B50A9F"/>
    <w:rsid w:val="00B5583C"/>
    <w:rsid w:val="00B55C73"/>
    <w:rsid w:val="00B574D6"/>
    <w:rsid w:val="00B61839"/>
    <w:rsid w:val="00B61949"/>
    <w:rsid w:val="00B661E8"/>
    <w:rsid w:val="00B66894"/>
    <w:rsid w:val="00B8381F"/>
    <w:rsid w:val="00B863F3"/>
    <w:rsid w:val="00B8698B"/>
    <w:rsid w:val="00B9175E"/>
    <w:rsid w:val="00B97BA3"/>
    <w:rsid w:val="00BA1DA9"/>
    <w:rsid w:val="00BA24DF"/>
    <w:rsid w:val="00BA3C48"/>
    <w:rsid w:val="00BA5005"/>
    <w:rsid w:val="00BB6599"/>
    <w:rsid w:val="00BB6785"/>
    <w:rsid w:val="00BC5A55"/>
    <w:rsid w:val="00BD089D"/>
    <w:rsid w:val="00BD321B"/>
    <w:rsid w:val="00BE3D1F"/>
    <w:rsid w:val="00BE56EF"/>
    <w:rsid w:val="00BF08ED"/>
    <w:rsid w:val="00BF0E9A"/>
    <w:rsid w:val="00BF5BBF"/>
    <w:rsid w:val="00C03154"/>
    <w:rsid w:val="00C031EA"/>
    <w:rsid w:val="00C04A6A"/>
    <w:rsid w:val="00C06D93"/>
    <w:rsid w:val="00C077EC"/>
    <w:rsid w:val="00C10F48"/>
    <w:rsid w:val="00C205C3"/>
    <w:rsid w:val="00C24CE1"/>
    <w:rsid w:val="00C25780"/>
    <w:rsid w:val="00C260FD"/>
    <w:rsid w:val="00C44225"/>
    <w:rsid w:val="00C6069D"/>
    <w:rsid w:val="00C6752F"/>
    <w:rsid w:val="00C72A12"/>
    <w:rsid w:val="00C75C49"/>
    <w:rsid w:val="00C82E1A"/>
    <w:rsid w:val="00C90926"/>
    <w:rsid w:val="00CA6FE5"/>
    <w:rsid w:val="00CC0897"/>
    <w:rsid w:val="00CC27C2"/>
    <w:rsid w:val="00CD3941"/>
    <w:rsid w:val="00CE6618"/>
    <w:rsid w:val="00D00544"/>
    <w:rsid w:val="00D00F37"/>
    <w:rsid w:val="00D17E04"/>
    <w:rsid w:val="00D250E0"/>
    <w:rsid w:val="00D255BF"/>
    <w:rsid w:val="00D274B7"/>
    <w:rsid w:val="00D305B8"/>
    <w:rsid w:val="00D37A58"/>
    <w:rsid w:val="00D43A2B"/>
    <w:rsid w:val="00D459BD"/>
    <w:rsid w:val="00D47DA8"/>
    <w:rsid w:val="00D54430"/>
    <w:rsid w:val="00D55232"/>
    <w:rsid w:val="00D55CEC"/>
    <w:rsid w:val="00D72893"/>
    <w:rsid w:val="00D72E47"/>
    <w:rsid w:val="00D77383"/>
    <w:rsid w:val="00D83AEC"/>
    <w:rsid w:val="00D8441B"/>
    <w:rsid w:val="00D933D3"/>
    <w:rsid w:val="00D9465E"/>
    <w:rsid w:val="00D94FDC"/>
    <w:rsid w:val="00D96747"/>
    <w:rsid w:val="00DA5892"/>
    <w:rsid w:val="00DA5A71"/>
    <w:rsid w:val="00DA63C5"/>
    <w:rsid w:val="00DA72BA"/>
    <w:rsid w:val="00DB5833"/>
    <w:rsid w:val="00DC408B"/>
    <w:rsid w:val="00DE315A"/>
    <w:rsid w:val="00DF602E"/>
    <w:rsid w:val="00E01102"/>
    <w:rsid w:val="00E031D4"/>
    <w:rsid w:val="00E07506"/>
    <w:rsid w:val="00E107FC"/>
    <w:rsid w:val="00E24E46"/>
    <w:rsid w:val="00E346C0"/>
    <w:rsid w:val="00E3482C"/>
    <w:rsid w:val="00E41A55"/>
    <w:rsid w:val="00E43D6D"/>
    <w:rsid w:val="00E449C5"/>
    <w:rsid w:val="00E52769"/>
    <w:rsid w:val="00E647FB"/>
    <w:rsid w:val="00E6576F"/>
    <w:rsid w:val="00E81A2A"/>
    <w:rsid w:val="00E92BF9"/>
    <w:rsid w:val="00E96BAD"/>
    <w:rsid w:val="00EA755E"/>
    <w:rsid w:val="00EB16AE"/>
    <w:rsid w:val="00EB1B36"/>
    <w:rsid w:val="00EB4076"/>
    <w:rsid w:val="00EC00F5"/>
    <w:rsid w:val="00EC06A2"/>
    <w:rsid w:val="00ED56F6"/>
    <w:rsid w:val="00EF0375"/>
    <w:rsid w:val="00F11748"/>
    <w:rsid w:val="00F155FD"/>
    <w:rsid w:val="00F16CC0"/>
    <w:rsid w:val="00F21B27"/>
    <w:rsid w:val="00F402F4"/>
    <w:rsid w:val="00F42AF1"/>
    <w:rsid w:val="00F44EC3"/>
    <w:rsid w:val="00F44F1C"/>
    <w:rsid w:val="00F468CB"/>
    <w:rsid w:val="00F47FCB"/>
    <w:rsid w:val="00F63827"/>
    <w:rsid w:val="00F63A74"/>
    <w:rsid w:val="00F70AB4"/>
    <w:rsid w:val="00F82CCD"/>
    <w:rsid w:val="00F873BA"/>
    <w:rsid w:val="00F91872"/>
    <w:rsid w:val="00F94717"/>
    <w:rsid w:val="00FA1B2C"/>
    <w:rsid w:val="00FA1DAE"/>
    <w:rsid w:val="00FB6470"/>
    <w:rsid w:val="00FC1E40"/>
    <w:rsid w:val="00FC6451"/>
    <w:rsid w:val="00FC7B83"/>
    <w:rsid w:val="00FD18E2"/>
    <w:rsid w:val="00FD1D96"/>
    <w:rsid w:val="00FE0071"/>
    <w:rsid w:val="00FE4B97"/>
    <w:rsid w:val="00FE7076"/>
    <w:rsid w:val="00FF25D0"/>
    <w:rsid w:val="00FF3087"/>
    <w:rsid w:val="00FF6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9546"/>
  <w15:docId w15:val="{A660F23F-10D0-4477-89F5-F3CAAF21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AE7D84"/>
    <w:pPr>
      <w:numPr>
        <w:numId w:val="1"/>
      </w:numPr>
      <w:contextualSpacing/>
    </w:pPr>
  </w:style>
  <w:style w:type="paragraph" w:styleId="StandardWeb">
    <w:name w:val="Normal (Web)"/>
    <w:basedOn w:val="Standard"/>
    <w:uiPriority w:val="99"/>
    <w:semiHidden/>
    <w:unhideWhenUsed/>
    <w:rsid w:val="00E657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6576F"/>
    <w:rPr>
      <w:i/>
      <w:iCs/>
    </w:rPr>
  </w:style>
  <w:style w:type="character" w:customStyle="1" w:styleId="zit">
    <w:name w:val="zit"/>
    <w:basedOn w:val="Absatz-Standardschriftart"/>
    <w:rsid w:val="00E6576F"/>
  </w:style>
  <w:style w:type="character" w:styleId="Hyperlink">
    <w:name w:val="Hyperlink"/>
    <w:basedOn w:val="Absatz-Standardschriftart"/>
    <w:uiPriority w:val="99"/>
    <w:semiHidden/>
    <w:unhideWhenUsed/>
    <w:rsid w:val="00E6576F"/>
    <w:rPr>
      <w:color w:val="0000FF"/>
      <w:u w:val="single"/>
    </w:rPr>
  </w:style>
  <w:style w:type="character" w:customStyle="1" w:styleId="unsichtbar">
    <w:name w:val="unsichtbar"/>
    <w:basedOn w:val="Absatz-Standardschriftart"/>
    <w:rsid w:val="00E6576F"/>
  </w:style>
  <w:style w:type="paragraph" w:styleId="Funotentext">
    <w:name w:val="footnote text"/>
    <w:basedOn w:val="Standard"/>
    <w:link w:val="FunotentextZchn"/>
    <w:uiPriority w:val="99"/>
    <w:unhideWhenUsed/>
    <w:rsid w:val="00E43D6D"/>
    <w:pPr>
      <w:spacing w:after="0" w:line="240" w:lineRule="auto"/>
    </w:pPr>
    <w:rPr>
      <w:sz w:val="20"/>
      <w:szCs w:val="20"/>
    </w:rPr>
  </w:style>
  <w:style w:type="character" w:customStyle="1" w:styleId="FunotentextZchn">
    <w:name w:val="Fußnotentext Zchn"/>
    <w:basedOn w:val="Absatz-Standardschriftart"/>
    <w:link w:val="Funotentext"/>
    <w:uiPriority w:val="99"/>
    <w:rsid w:val="00E43D6D"/>
    <w:rPr>
      <w:sz w:val="20"/>
      <w:szCs w:val="20"/>
    </w:rPr>
  </w:style>
  <w:style w:type="character" w:styleId="Funotenzeichen">
    <w:name w:val="footnote reference"/>
    <w:basedOn w:val="Absatz-Standardschriftart"/>
    <w:uiPriority w:val="99"/>
    <w:semiHidden/>
    <w:unhideWhenUsed/>
    <w:rsid w:val="00E43D6D"/>
    <w:rPr>
      <w:vertAlign w:val="superscript"/>
    </w:rPr>
  </w:style>
  <w:style w:type="character" w:customStyle="1" w:styleId="paragr">
    <w:name w:val="paragr"/>
    <w:basedOn w:val="Absatz-Standardschriftart"/>
    <w:rsid w:val="006F4895"/>
  </w:style>
  <w:style w:type="paragraph" w:styleId="Endnotentext">
    <w:name w:val="endnote text"/>
    <w:basedOn w:val="Standard"/>
    <w:link w:val="EndnotentextZchn"/>
    <w:uiPriority w:val="99"/>
    <w:semiHidden/>
    <w:unhideWhenUsed/>
    <w:rsid w:val="000D5AA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D5AAD"/>
    <w:rPr>
      <w:sz w:val="20"/>
      <w:szCs w:val="20"/>
    </w:rPr>
  </w:style>
  <w:style w:type="character" w:styleId="Endnotenzeichen">
    <w:name w:val="endnote reference"/>
    <w:basedOn w:val="Absatz-Standardschriftart"/>
    <w:uiPriority w:val="99"/>
    <w:semiHidden/>
    <w:unhideWhenUsed/>
    <w:rsid w:val="000D5AAD"/>
    <w:rPr>
      <w:vertAlign w:val="superscript"/>
    </w:rPr>
  </w:style>
  <w:style w:type="paragraph" w:styleId="Sprechblasentext">
    <w:name w:val="Balloon Text"/>
    <w:basedOn w:val="Standard"/>
    <w:link w:val="SprechblasentextZchn"/>
    <w:uiPriority w:val="99"/>
    <w:semiHidden/>
    <w:unhideWhenUsed/>
    <w:rsid w:val="00AF38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8A2"/>
    <w:rPr>
      <w:rFonts w:ascii="Tahoma" w:hAnsi="Tahoma" w:cs="Tahoma"/>
      <w:sz w:val="16"/>
      <w:szCs w:val="16"/>
    </w:rPr>
  </w:style>
  <w:style w:type="paragraph" w:styleId="Listenabsatz">
    <w:name w:val="List Paragraph"/>
    <w:basedOn w:val="Standard"/>
    <w:uiPriority w:val="34"/>
    <w:qFormat/>
    <w:rsid w:val="006037AC"/>
    <w:pPr>
      <w:ind w:left="720"/>
      <w:contextualSpacing/>
    </w:pPr>
  </w:style>
  <w:style w:type="character" w:customStyle="1" w:styleId="sidebar-outside">
    <w:name w:val="sidebar-outside"/>
    <w:basedOn w:val="Absatz-Standardschriftart"/>
    <w:rsid w:val="00F4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992541">
      <w:bodyDiv w:val="1"/>
      <w:marLeft w:val="0"/>
      <w:marRight w:val="0"/>
      <w:marTop w:val="0"/>
      <w:marBottom w:val="0"/>
      <w:divBdr>
        <w:top w:val="none" w:sz="0" w:space="0" w:color="auto"/>
        <w:left w:val="none" w:sz="0" w:space="0" w:color="auto"/>
        <w:bottom w:val="none" w:sz="0" w:space="0" w:color="auto"/>
        <w:right w:val="none" w:sz="0" w:space="0" w:color="auto"/>
      </w:divBdr>
    </w:div>
    <w:div w:id="1224609256">
      <w:bodyDiv w:val="1"/>
      <w:marLeft w:val="0"/>
      <w:marRight w:val="0"/>
      <w:marTop w:val="0"/>
      <w:marBottom w:val="0"/>
      <w:divBdr>
        <w:top w:val="none" w:sz="0" w:space="0" w:color="auto"/>
        <w:left w:val="none" w:sz="0" w:space="0" w:color="auto"/>
        <w:bottom w:val="none" w:sz="0" w:space="0" w:color="auto"/>
        <w:right w:val="none" w:sz="0" w:space="0" w:color="auto"/>
      </w:divBdr>
    </w:div>
    <w:div w:id="18182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B5394-709F-4728-B311-93DFD341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10867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Keiser</dc:creator>
  <cp:lastModifiedBy>Keiser</cp:lastModifiedBy>
  <cp:revision>5</cp:revision>
  <cp:lastPrinted>2017-08-30T13:10:00Z</cp:lastPrinted>
  <dcterms:created xsi:type="dcterms:W3CDTF">2017-08-30T12:58:00Z</dcterms:created>
  <dcterms:modified xsi:type="dcterms:W3CDTF">2017-08-31T15:24:00Z</dcterms:modified>
</cp:coreProperties>
</file>