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B71" w:rsidRPr="000C0B71" w:rsidRDefault="000C0B71" w:rsidP="000C0B71">
      <w:pPr>
        <w:pStyle w:val="berschrift1"/>
        <w:spacing w:line="312" w:lineRule="exact"/>
        <w:rPr>
          <w:rFonts w:ascii="Times New Roman" w:hAnsi="Times New Roman"/>
          <w:sz w:val="32"/>
          <w:szCs w:val="32"/>
          <w:u w:val="none"/>
        </w:rPr>
      </w:pPr>
      <w:r w:rsidRPr="000C0B71">
        <w:rPr>
          <w:rFonts w:ascii="Times New Roman" w:hAnsi="Times New Roman"/>
          <w:sz w:val="32"/>
          <w:szCs w:val="32"/>
          <w:u w:val="none"/>
        </w:rPr>
        <w:t>Schuldfähigkeit als Voraussetzung der Strafe</w:t>
      </w:r>
    </w:p>
    <w:p w:rsidR="000C0B71" w:rsidRPr="00154A79" w:rsidRDefault="000C0B71" w:rsidP="000C0B71">
      <w:pPr>
        <w:pStyle w:val="berschrift1"/>
        <w:spacing w:line="360" w:lineRule="auto"/>
        <w:jc w:val="center"/>
        <w:rPr>
          <w:rFonts w:ascii="Times New Roman" w:hAnsi="Times New Roman"/>
          <w:b w:val="0"/>
          <w:u w:val="none"/>
        </w:rPr>
      </w:pPr>
      <w:r w:rsidRPr="00154A79">
        <w:rPr>
          <w:rFonts w:ascii="Times New Roman" w:hAnsi="Times New Roman"/>
          <w:b w:val="0"/>
          <w:i/>
          <w:highlight w:val="lightGray"/>
          <w:u w:val="none"/>
        </w:rPr>
        <w:t>Veröffentlicht von Dr. Claudia Keiser in</w:t>
      </w:r>
      <w:r w:rsidRPr="007E5A67">
        <w:rPr>
          <w:rFonts w:ascii="Times New Roman" w:hAnsi="Times New Roman"/>
          <w:b w:val="0"/>
          <w:i/>
          <w:highlight w:val="lightGray"/>
          <w:u w:val="none"/>
        </w:rPr>
        <w:t>: Jura 2001, 377</w:t>
      </w:r>
    </w:p>
    <w:p w:rsidR="00000000" w:rsidRPr="00154A79" w:rsidRDefault="00046A2F" w:rsidP="000C0B71">
      <w:pPr>
        <w:pStyle w:val="berschrift1"/>
        <w:spacing w:line="360" w:lineRule="auto"/>
        <w:jc w:val="both"/>
        <w:rPr>
          <w:rFonts w:ascii="Times New Roman" w:hAnsi="Times New Roman"/>
          <w:b w:val="0"/>
          <w:i/>
          <w:u w:val="none"/>
        </w:rPr>
      </w:pPr>
      <w:r w:rsidRPr="00154A79">
        <w:rPr>
          <w:rFonts w:ascii="Times New Roman" w:hAnsi="Times New Roman"/>
          <w:b w:val="0"/>
          <w:i/>
          <w:u w:val="none"/>
        </w:rPr>
        <w:t>Die Regelungen über die Schuldfähigkeit gehören schon im ersten Staatsexamen zum Prüfungsstoff. Spätestens wenn es im Referendariat während des staatsanwaltlichen Sitzungsdienstes zu Beg</w:t>
      </w:r>
      <w:r w:rsidRPr="00154A79">
        <w:rPr>
          <w:rFonts w:ascii="Times New Roman" w:hAnsi="Times New Roman"/>
          <w:b w:val="0"/>
          <w:i/>
          <w:u w:val="none"/>
        </w:rPr>
        <w:t>egnungen mit dem Gerichtsalltag kommt, wird ihre Kenntnis jedoch unentbehrlich. Denn was tun, wenn die Ladendiebin plötzlich behauptet, Kleptomanin und deshalb schuldunfähig zu sein? Die Abhandlung gibt einen ersten Überblick über die Regelung der Schuld(</w:t>
      </w:r>
      <w:proofErr w:type="spellStart"/>
      <w:r w:rsidRPr="00154A79">
        <w:rPr>
          <w:rFonts w:ascii="Times New Roman" w:hAnsi="Times New Roman"/>
          <w:b w:val="0"/>
          <w:i/>
          <w:u w:val="none"/>
        </w:rPr>
        <w:t>u</w:t>
      </w:r>
      <w:r w:rsidRPr="00154A79">
        <w:rPr>
          <w:rFonts w:ascii="Times New Roman" w:hAnsi="Times New Roman"/>
          <w:b w:val="0"/>
          <w:i/>
          <w:u w:val="none"/>
        </w:rPr>
        <w:t>n</w:t>
      </w:r>
      <w:proofErr w:type="spellEnd"/>
      <w:r w:rsidRPr="00154A79">
        <w:rPr>
          <w:rFonts w:ascii="Times New Roman" w:hAnsi="Times New Roman"/>
          <w:b w:val="0"/>
          <w:i/>
          <w:u w:val="none"/>
        </w:rPr>
        <w:t>)</w:t>
      </w:r>
      <w:proofErr w:type="spellStart"/>
      <w:r w:rsidRPr="00154A79">
        <w:rPr>
          <w:rFonts w:ascii="Times New Roman" w:hAnsi="Times New Roman"/>
          <w:b w:val="0"/>
          <w:i/>
          <w:u w:val="none"/>
        </w:rPr>
        <w:t>fähigkeit</w:t>
      </w:r>
      <w:proofErr w:type="spellEnd"/>
      <w:r w:rsidRPr="00154A79">
        <w:rPr>
          <w:rFonts w:ascii="Times New Roman" w:hAnsi="Times New Roman"/>
          <w:b w:val="0"/>
          <w:i/>
          <w:u w:val="none"/>
        </w:rPr>
        <w:t>. Es wird zunächst das Verhältnis der §§ 20 und 21 StGB zu § 17 StGB und § 3 JGG erörtert und sodann der Aufbau der §§ 20 und 21 StGB behandelt. Darüber hinaus beschäftigt sich der Beitrag auch mit den Fragen der Feststellung der Schuld(</w:t>
      </w:r>
      <w:proofErr w:type="spellStart"/>
      <w:r w:rsidRPr="00154A79">
        <w:rPr>
          <w:rFonts w:ascii="Times New Roman" w:hAnsi="Times New Roman"/>
          <w:b w:val="0"/>
          <w:i/>
          <w:u w:val="none"/>
        </w:rPr>
        <w:t>unfähigk</w:t>
      </w:r>
      <w:r w:rsidRPr="00154A79">
        <w:rPr>
          <w:rFonts w:ascii="Times New Roman" w:hAnsi="Times New Roman"/>
          <w:b w:val="0"/>
          <w:i/>
          <w:u w:val="none"/>
        </w:rPr>
        <w:t>eit</w:t>
      </w:r>
      <w:proofErr w:type="spellEnd"/>
      <w:r w:rsidRPr="00154A79">
        <w:rPr>
          <w:rFonts w:ascii="Times New Roman" w:hAnsi="Times New Roman"/>
          <w:b w:val="0"/>
          <w:i/>
          <w:u w:val="none"/>
        </w:rPr>
        <w:t>).</w:t>
      </w:r>
    </w:p>
    <w:p w:rsidR="00154A79" w:rsidRPr="007E5A67" w:rsidRDefault="00154A79" w:rsidP="00154A79">
      <w:pPr>
        <w:spacing w:before="240" w:line="360" w:lineRule="auto"/>
        <w:jc w:val="center"/>
        <w:rPr>
          <w:rFonts w:ascii="Times New Roman" w:hAnsi="Times New Roman"/>
          <w:i/>
          <w:highlight w:val="lightGray"/>
        </w:rPr>
      </w:pPr>
      <w:r w:rsidRPr="007E5A67">
        <w:rPr>
          <w:rFonts w:ascii="Times New Roman" w:hAnsi="Times New Roman"/>
          <w:i/>
          <w:highlight w:val="lightGray"/>
        </w:rPr>
        <w:t>Jura 2001, 378</w:t>
      </w:r>
    </w:p>
    <w:p w:rsidR="00154A79" w:rsidRPr="00154A79" w:rsidRDefault="00154A79" w:rsidP="00154A79">
      <w:pPr>
        <w:pStyle w:val="Listenabsatz"/>
        <w:numPr>
          <w:ilvl w:val="0"/>
          <w:numId w:val="3"/>
        </w:numPr>
        <w:spacing w:before="240" w:line="360" w:lineRule="auto"/>
        <w:ind w:left="0" w:firstLine="0"/>
        <w:rPr>
          <w:rFonts w:ascii="Times New Roman" w:hAnsi="Times New Roman"/>
          <w:b/>
        </w:rPr>
      </w:pPr>
      <w:r w:rsidRPr="00154A79">
        <w:rPr>
          <w:rFonts w:ascii="Times New Roman" w:hAnsi="Times New Roman"/>
          <w:b/>
        </w:rPr>
        <w:t>Einführung</w:t>
      </w:r>
    </w:p>
    <w:p w:rsidR="00000000" w:rsidRPr="00154A79" w:rsidRDefault="00046A2F" w:rsidP="00154A79">
      <w:pPr>
        <w:spacing w:before="240" w:line="360" w:lineRule="auto"/>
        <w:jc w:val="both"/>
        <w:rPr>
          <w:rFonts w:ascii="Times New Roman" w:hAnsi="Times New Roman"/>
          <w:b/>
          <w:szCs w:val="24"/>
        </w:rPr>
      </w:pPr>
      <w:r w:rsidRPr="00154A79">
        <w:rPr>
          <w:rFonts w:ascii="Times New Roman" w:hAnsi="Times New Roman"/>
          <w:szCs w:val="24"/>
        </w:rPr>
        <w:t>Unser Strafrecht basiert auf der Annahme, dass der erwachsene Mensch im Regel</w:t>
      </w:r>
      <w:r w:rsidRPr="00154A79">
        <w:rPr>
          <w:rFonts w:ascii="Times New Roman" w:hAnsi="Times New Roman"/>
          <w:szCs w:val="24"/>
        </w:rPr>
        <w:t>fall schuldfähig ist</w:t>
      </w:r>
      <w:r w:rsidRPr="00154A79">
        <w:rPr>
          <w:rStyle w:val="Funotenzeichen"/>
          <w:rFonts w:ascii="Times New Roman" w:hAnsi="Times New Roman"/>
          <w:szCs w:val="24"/>
        </w:rPr>
        <w:footnoteReference w:id="1"/>
      </w:r>
      <w:r w:rsidRPr="00154A79">
        <w:rPr>
          <w:rFonts w:ascii="Times New Roman" w:hAnsi="Times New Roman"/>
          <w:szCs w:val="24"/>
        </w:rPr>
        <w:t>. Die Schuldfähigkeit ist somit nur ”formallogisch”</w:t>
      </w:r>
      <w:r w:rsidRPr="00154A79">
        <w:rPr>
          <w:rFonts w:ascii="Times New Roman" w:hAnsi="Times New Roman"/>
          <w:position w:val="12"/>
          <w:szCs w:val="24"/>
        </w:rPr>
        <w:t xml:space="preserve"> </w:t>
      </w:r>
      <w:r w:rsidRPr="00154A79">
        <w:rPr>
          <w:rStyle w:val="Funotenzeichen"/>
          <w:rFonts w:ascii="Times New Roman" w:hAnsi="Times New Roman"/>
          <w:szCs w:val="24"/>
        </w:rPr>
        <w:footnoteReference w:id="2"/>
      </w:r>
      <w:r w:rsidRPr="00154A79">
        <w:rPr>
          <w:rFonts w:ascii="Times New Roman" w:hAnsi="Times New Roman"/>
          <w:szCs w:val="24"/>
        </w:rPr>
        <w:t xml:space="preserve"> Vorausset</w:t>
      </w:r>
      <w:r w:rsidRPr="00154A79">
        <w:rPr>
          <w:rFonts w:ascii="Times New Roman" w:hAnsi="Times New Roman"/>
          <w:szCs w:val="24"/>
        </w:rPr>
        <w:t xml:space="preserve">zung sowohl der Schuld - und damit wegen </w:t>
      </w:r>
      <w:r w:rsidRPr="00154A79">
        <w:rPr>
          <w:rFonts w:ascii="Times New Roman" w:hAnsi="Times New Roman"/>
          <w:szCs w:val="24"/>
        </w:rPr>
        <w:t>des Grundsatzes ”nulla poena sine lege” gem. § 1 StGB und Art. 103 Abs. 2 GG auch der Strafe. Strafrechtsdogma</w:t>
      </w:r>
      <w:r w:rsidRPr="00154A79">
        <w:rPr>
          <w:rFonts w:ascii="Times New Roman" w:hAnsi="Times New Roman"/>
          <w:szCs w:val="24"/>
        </w:rPr>
        <w:t>tisch ist es da</w:t>
      </w:r>
      <w:r w:rsidRPr="00154A79">
        <w:rPr>
          <w:rFonts w:ascii="Times New Roman" w:hAnsi="Times New Roman"/>
          <w:szCs w:val="24"/>
        </w:rPr>
        <w:t xml:space="preserve">her durchaus richtig, darauf zu verzichten, unter den Begriff der Schuld und damit auch jenen der Schuldfähigkeit zu subsumieren </w:t>
      </w:r>
      <w:r w:rsidRPr="00154A79">
        <w:rPr>
          <w:rFonts w:ascii="Times New Roman" w:hAnsi="Times New Roman"/>
          <w:szCs w:val="24"/>
        </w:rPr>
        <w:t xml:space="preserve">und sich </w:t>
      </w:r>
      <w:proofErr w:type="gramStart"/>
      <w:r w:rsidRPr="00154A79">
        <w:rPr>
          <w:rFonts w:ascii="Times New Roman" w:hAnsi="Times New Roman"/>
          <w:szCs w:val="24"/>
        </w:rPr>
        <w:t>statt dessen</w:t>
      </w:r>
      <w:proofErr w:type="gramEnd"/>
      <w:r w:rsidRPr="00154A79">
        <w:rPr>
          <w:rFonts w:ascii="Times New Roman" w:hAnsi="Times New Roman"/>
          <w:szCs w:val="24"/>
        </w:rPr>
        <w:t xml:space="preserve"> gerade in Übungsarbeiten mit </w:t>
      </w:r>
      <w:r w:rsidRPr="00154A79">
        <w:rPr>
          <w:rFonts w:ascii="Times New Roman" w:hAnsi="Times New Roman"/>
          <w:szCs w:val="24"/>
        </w:rPr>
        <w:t>einem ”mangels entgegenstehender Hin</w:t>
      </w:r>
      <w:r w:rsidRPr="00154A79">
        <w:rPr>
          <w:rFonts w:ascii="Times New Roman" w:hAnsi="Times New Roman"/>
          <w:szCs w:val="24"/>
        </w:rPr>
        <w:t>weise ist von der Schuldfähigkeit des X auszugehen” zu begnügen</w:t>
      </w:r>
      <w:r w:rsidRPr="00154A79">
        <w:rPr>
          <w:rStyle w:val="Funotenzeichen"/>
          <w:rFonts w:ascii="Times New Roman" w:hAnsi="Times New Roman"/>
          <w:szCs w:val="24"/>
        </w:rPr>
        <w:footnoteReference w:id="3"/>
      </w:r>
      <w:r w:rsidRPr="00154A79">
        <w:rPr>
          <w:rFonts w:ascii="Times New Roman" w:hAnsi="Times New Roman"/>
          <w:szCs w:val="24"/>
        </w:rPr>
        <w:t>,- sofern nicht gerade eine Ausein</w:t>
      </w:r>
      <w:r w:rsidRPr="00154A79">
        <w:rPr>
          <w:rFonts w:ascii="Times New Roman" w:hAnsi="Times New Roman"/>
          <w:szCs w:val="24"/>
        </w:rPr>
        <w:t xml:space="preserve">andersetzung mit den Grundsätzen der sog. </w:t>
      </w:r>
      <w:proofErr w:type="spellStart"/>
      <w:r w:rsidRPr="00154A79">
        <w:rPr>
          <w:rFonts w:ascii="Times New Roman" w:hAnsi="Times New Roman"/>
          <w:szCs w:val="24"/>
        </w:rPr>
        <w:t>actio</w:t>
      </w:r>
      <w:proofErr w:type="spellEnd"/>
      <w:r w:rsidRPr="00154A79">
        <w:rPr>
          <w:rFonts w:ascii="Times New Roman" w:hAnsi="Times New Roman"/>
          <w:szCs w:val="24"/>
        </w:rPr>
        <w:t xml:space="preserve"> </w:t>
      </w:r>
      <w:proofErr w:type="spellStart"/>
      <w:r w:rsidRPr="00154A79">
        <w:rPr>
          <w:rFonts w:ascii="Times New Roman" w:hAnsi="Times New Roman"/>
          <w:szCs w:val="24"/>
        </w:rPr>
        <w:t>libera</w:t>
      </w:r>
      <w:proofErr w:type="spellEnd"/>
      <w:r w:rsidRPr="00154A79">
        <w:rPr>
          <w:rFonts w:ascii="Times New Roman" w:hAnsi="Times New Roman"/>
          <w:szCs w:val="24"/>
        </w:rPr>
        <w:t xml:space="preserve"> in causa </w:t>
      </w:r>
      <w:r w:rsidR="00154A79">
        <w:rPr>
          <w:rFonts w:ascii="Times New Roman" w:hAnsi="Times New Roman"/>
          <w:szCs w:val="24"/>
        </w:rPr>
        <w:lastRenderedPageBreak/>
        <w:t>e</w:t>
      </w:r>
      <w:r w:rsidRPr="00154A79">
        <w:rPr>
          <w:rFonts w:ascii="Times New Roman" w:hAnsi="Times New Roman"/>
          <w:szCs w:val="24"/>
        </w:rPr>
        <w:t>rl</w:t>
      </w:r>
      <w:r w:rsidRPr="00154A79">
        <w:rPr>
          <w:rFonts w:ascii="Times New Roman" w:hAnsi="Times New Roman"/>
          <w:szCs w:val="24"/>
        </w:rPr>
        <w:t>angt ist</w:t>
      </w:r>
      <w:r w:rsidRPr="00154A79">
        <w:rPr>
          <w:rStyle w:val="Funotenzeichen"/>
          <w:rFonts w:ascii="Times New Roman" w:hAnsi="Times New Roman"/>
          <w:szCs w:val="24"/>
        </w:rPr>
        <w:footnoteReference w:id="4"/>
      </w:r>
      <w:r w:rsidRPr="00154A79">
        <w:rPr>
          <w:rFonts w:ascii="Times New Roman" w:hAnsi="Times New Roman"/>
          <w:szCs w:val="24"/>
        </w:rPr>
        <w:t>. Kühl</w:t>
      </w:r>
      <w:r w:rsidRPr="00154A79">
        <w:rPr>
          <w:rStyle w:val="Funotenzeichen"/>
          <w:rFonts w:ascii="Times New Roman" w:hAnsi="Times New Roman"/>
          <w:szCs w:val="24"/>
        </w:rPr>
        <w:footnoteReference w:id="5"/>
      </w:r>
      <w:r w:rsidRPr="00154A79">
        <w:rPr>
          <w:rFonts w:ascii="Times New Roman" w:hAnsi="Times New Roman"/>
          <w:szCs w:val="24"/>
        </w:rPr>
        <w:t xml:space="preserve"> tut also gut daran, die Studierenden in seinem Lehrbuch ausdrücklich davor zu war</w:t>
      </w:r>
      <w:r w:rsidRPr="00154A79">
        <w:rPr>
          <w:rFonts w:ascii="Times New Roman" w:hAnsi="Times New Roman"/>
          <w:szCs w:val="24"/>
        </w:rPr>
        <w:softHyphen/>
        <w:t>nen, solche ”Sachverhaltsangaben wie ”im Zorn”, ”aus Angst”, ”in großer Verwirrung” oder ”in alkoholisiertem Zustand” unter § 20 zu sub</w:t>
      </w:r>
      <w:r w:rsidRPr="00154A79">
        <w:rPr>
          <w:rFonts w:ascii="Times New Roman" w:hAnsi="Times New Roman"/>
          <w:szCs w:val="24"/>
        </w:rPr>
        <w:t>sumieren”. Die Praxis</w:t>
      </w:r>
      <w:r w:rsidRPr="00154A79">
        <w:rPr>
          <w:rFonts w:ascii="Times New Roman" w:hAnsi="Times New Roman"/>
          <w:szCs w:val="24"/>
        </w:rPr>
        <w:t xml:space="preserve"> ist jedoch nicht</w:t>
      </w:r>
      <w:r w:rsidR="00154A79">
        <w:rPr>
          <w:rFonts w:ascii="Times New Roman" w:hAnsi="Times New Roman"/>
          <w:szCs w:val="24"/>
        </w:rPr>
        <w:t xml:space="preserve"> zuletzt wegen des Grundsatzes „</w:t>
      </w:r>
      <w:r w:rsidRPr="00154A79">
        <w:rPr>
          <w:rFonts w:ascii="Times New Roman" w:hAnsi="Times New Roman"/>
          <w:szCs w:val="24"/>
        </w:rPr>
        <w:t xml:space="preserve">in </w:t>
      </w:r>
      <w:proofErr w:type="spellStart"/>
      <w:r w:rsidRPr="00154A79">
        <w:rPr>
          <w:rFonts w:ascii="Times New Roman" w:hAnsi="Times New Roman"/>
          <w:szCs w:val="24"/>
        </w:rPr>
        <w:t>dubio</w:t>
      </w:r>
      <w:proofErr w:type="spellEnd"/>
      <w:r w:rsidRPr="00154A79">
        <w:rPr>
          <w:rFonts w:ascii="Times New Roman" w:hAnsi="Times New Roman"/>
          <w:szCs w:val="24"/>
        </w:rPr>
        <w:t xml:space="preserve"> pro </w:t>
      </w:r>
      <w:proofErr w:type="spellStart"/>
      <w:r w:rsidRPr="00154A79">
        <w:rPr>
          <w:rFonts w:ascii="Times New Roman" w:hAnsi="Times New Roman"/>
          <w:szCs w:val="24"/>
        </w:rPr>
        <w:t>reo</w:t>
      </w:r>
      <w:proofErr w:type="spellEnd"/>
      <w:r w:rsidRPr="00154A79">
        <w:rPr>
          <w:rFonts w:ascii="Times New Roman" w:hAnsi="Times New Roman"/>
          <w:szCs w:val="24"/>
        </w:rPr>
        <w:t>” verpflichtet, den Anzeichen für eine fehlende oder eingeschränkte Schuldfä</w:t>
      </w:r>
      <w:r w:rsidRPr="00154A79">
        <w:rPr>
          <w:rFonts w:ascii="Times New Roman" w:hAnsi="Times New Roman"/>
          <w:szCs w:val="24"/>
        </w:rPr>
        <w:t>higkeit nachzuspüren, um so dem Schuldprinzip Geltung zu verschaffen</w:t>
      </w:r>
      <w:r w:rsidRPr="00154A79">
        <w:rPr>
          <w:rStyle w:val="Funotenzeichen"/>
          <w:rFonts w:ascii="Times New Roman" w:hAnsi="Times New Roman"/>
          <w:szCs w:val="24"/>
        </w:rPr>
        <w:footnoteReference w:id="6"/>
      </w:r>
      <w:r w:rsidRPr="00154A79">
        <w:rPr>
          <w:rFonts w:ascii="Times New Roman" w:hAnsi="Times New Roman"/>
          <w:szCs w:val="24"/>
        </w:rPr>
        <w:t>. Dies verlangt unabhängig davon, dass 1998 §</w:t>
      </w:r>
      <w:r w:rsidRPr="00154A79">
        <w:rPr>
          <w:rFonts w:ascii="Times New Roman" w:hAnsi="Times New Roman"/>
          <w:szCs w:val="24"/>
        </w:rPr>
        <w:t> 20 nur bei 0,07 % aller insgesamt Abge</w:t>
      </w:r>
      <w:r w:rsidR="00154A79">
        <w:rPr>
          <w:rFonts w:ascii="Times New Roman" w:hAnsi="Times New Roman"/>
          <w:szCs w:val="24"/>
        </w:rPr>
        <w:t>urteilten</w:t>
      </w:r>
      <w:r w:rsidRPr="00154A79">
        <w:rPr>
          <w:rFonts w:ascii="Times New Roman" w:hAnsi="Times New Roman"/>
          <w:szCs w:val="24"/>
        </w:rPr>
        <w:t xml:space="preserve"> und auch § 21 StGB nur bei 1,96 % der insgesamt Abgeurteilten bzw. bei 2,41 % der insgesamt Verurteilten zur An</w:t>
      </w:r>
      <w:r w:rsidRPr="00154A79">
        <w:rPr>
          <w:rFonts w:ascii="Times New Roman" w:hAnsi="Times New Roman"/>
          <w:szCs w:val="24"/>
        </w:rPr>
        <w:t>wendung kam</w:t>
      </w:r>
      <w:r w:rsidRPr="00154A79">
        <w:rPr>
          <w:rStyle w:val="Funotenzeichen"/>
          <w:rFonts w:ascii="Times New Roman" w:hAnsi="Times New Roman"/>
          <w:szCs w:val="24"/>
        </w:rPr>
        <w:footnoteReference w:id="7"/>
      </w:r>
      <w:r w:rsidRPr="00154A79">
        <w:rPr>
          <w:rFonts w:ascii="Times New Roman" w:hAnsi="Times New Roman"/>
          <w:szCs w:val="24"/>
        </w:rPr>
        <w:t>, von jedem Juristen auch Grundkenntnisse darüber, wie er der Schuldfähigkeit ent</w:t>
      </w:r>
      <w:r w:rsidRPr="00154A79">
        <w:rPr>
          <w:rFonts w:ascii="Times New Roman" w:hAnsi="Times New Roman"/>
          <w:szCs w:val="24"/>
        </w:rPr>
        <w:t>gegenstehende Indizien er</w:t>
      </w:r>
      <w:r w:rsidRPr="00154A79">
        <w:rPr>
          <w:rFonts w:ascii="Times New Roman" w:hAnsi="Times New Roman"/>
          <w:szCs w:val="24"/>
        </w:rPr>
        <w:t xml:space="preserve">kennen kann. </w:t>
      </w:r>
    </w:p>
    <w:p w:rsidR="00000000" w:rsidRPr="00154A79" w:rsidRDefault="00046A2F" w:rsidP="00154A79">
      <w:pPr>
        <w:pStyle w:val="berschrift2"/>
        <w:spacing w:before="240" w:line="360" w:lineRule="auto"/>
        <w:jc w:val="both"/>
        <w:rPr>
          <w:rFonts w:ascii="Times New Roman" w:hAnsi="Times New Roman"/>
          <w:szCs w:val="24"/>
        </w:rPr>
      </w:pPr>
      <w:r w:rsidRPr="00154A79">
        <w:rPr>
          <w:rFonts w:ascii="Times New Roman" w:hAnsi="Times New Roman"/>
          <w:szCs w:val="24"/>
        </w:rPr>
        <w:t>I</w:t>
      </w:r>
      <w:r w:rsidR="00154A79">
        <w:rPr>
          <w:rFonts w:ascii="Times New Roman" w:hAnsi="Times New Roman"/>
          <w:szCs w:val="24"/>
        </w:rPr>
        <w:t>I</w:t>
      </w:r>
      <w:r w:rsidRPr="00154A79">
        <w:rPr>
          <w:rFonts w:ascii="Times New Roman" w:hAnsi="Times New Roman"/>
          <w:szCs w:val="24"/>
        </w:rPr>
        <w:t>. Die gesetzlichen Regelungen der Schuldfähigkeit</w:t>
      </w:r>
    </w:p>
    <w:p w:rsidR="00000000" w:rsidRPr="00154A79" w:rsidRDefault="00046A2F" w:rsidP="000C0B71">
      <w:pPr>
        <w:spacing w:line="360" w:lineRule="auto"/>
        <w:jc w:val="both"/>
        <w:rPr>
          <w:rFonts w:ascii="Times New Roman" w:hAnsi="Times New Roman"/>
          <w:szCs w:val="24"/>
        </w:rPr>
      </w:pPr>
      <w:r w:rsidRPr="00154A79">
        <w:rPr>
          <w:rFonts w:ascii="Times New Roman" w:hAnsi="Times New Roman"/>
          <w:szCs w:val="24"/>
        </w:rPr>
        <w:t>Das Gesetz enthält keine De</w:t>
      </w:r>
      <w:r w:rsidRPr="00154A79">
        <w:rPr>
          <w:rFonts w:ascii="Times New Roman" w:hAnsi="Times New Roman"/>
          <w:szCs w:val="24"/>
        </w:rPr>
        <w:t>finition der Schuldfähigkeit oder ihrer Voraussetzungen. Man kann ihm nur zweierlei entnehmen: In formeller Hinsicht setzt die Schuldfähig</w:t>
      </w:r>
      <w:r w:rsidRPr="00154A79">
        <w:rPr>
          <w:rFonts w:ascii="Times New Roman" w:hAnsi="Times New Roman"/>
          <w:szCs w:val="24"/>
        </w:rPr>
        <w:t>keit zumindest die Vollendung des 14. Lebensjahres voraus, denn gem. § 19 StGB gilt für Kinder unter 14 Jahren die un</w:t>
      </w:r>
      <w:r w:rsidRPr="00154A79">
        <w:rPr>
          <w:rFonts w:ascii="Times New Roman" w:hAnsi="Times New Roman"/>
          <w:szCs w:val="24"/>
        </w:rPr>
        <w:t>widerlegliche Vermutung, dass sie schuldunfähig sind. In gleicher Weise läßt sich aus den Formulierungen der § 3 JGG und §§ 20, 21 StGB erschließen, dass sich die Schuldfähigkeit in materiel</w:t>
      </w:r>
      <w:r w:rsidR="00154A79">
        <w:rPr>
          <w:rFonts w:ascii="Times New Roman" w:hAnsi="Times New Roman"/>
          <w:szCs w:val="24"/>
        </w:rPr>
        <w:t xml:space="preserve">ler Hinsicht aus zwei </w:t>
      </w:r>
      <w:proofErr w:type="spellStart"/>
      <w:r w:rsidR="00154A79">
        <w:rPr>
          <w:rFonts w:ascii="Times New Roman" w:hAnsi="Times New Roman"/>
          <w:szCs w:val="24"/>
        </w:rPr>
        <w:t>aufeinan</w:t>
      </w:r>
      <w:r w:rsidRPr="00154A79">
        <w:rPr>
          <w:rFonts w:ascii="Times New Roman" w:hAnsi="Times New Roman"/>
          <w:szCs w:val="24"/>
        </w:rPr>
        <w:t>deraufbauenden</w:t>
      </w:r>
      <w:proofErr w:type="spellEnd"/>
      <w:r w:rsidRPr="00154A79">
        <w:rPr>
          <w:rFonts w:ascii="Times New Roman" w:hAnsi="Times New Roman"/>
          <w:szCs w:val="24"/>
        </w:rPr>
        <w:t xml:space="preserve"> Komponenten, einer </w:t>
      </w:r>
      <w:r w:rsidRPr="00154A79">
        <w:rPr>
          <w:rFonts w:ascii="Times New Roman" w:hAnsi="Times New Roman"/>
          <w:szCs w:val="24"/>
        </w:rPr>
        <w:t>intellektuellen und einer voluntativen, zusam</w:t>
      </w:r>
      <w:r w:rsidRPr="00154A79">
        <w:rPr>
          <w:rFonts w:ascii="Times New Roman" w:hAnsi="Times New Roman"/>
          <w:szCs w:val="24"/>
        </w:rPr>
        <w:t>mensetzt</w:t>
      </w:r>
      <w:r w:rsidRPr="00154A79">
        <w:rPr>
          <w:rStyle w:val="Funotenzeichen"/>
          <w:rFonts w:ascii="Times New Roman" w:hAnsi="Times New Roman"/>
          <w:szCs w:val="24"/>
        </w:rPr>
        <w:footnoteReference w:id="8"/>
      </w:r>
      <w:r w:rsidRPr="00154A79">
        <w:rPr>
          <w:rFonts w:ascii="Times New Roman" w:hAnsi="Times New Roman"/>
          <w:szCs w:val="24"/>
        </w:rPr>
        <w:t>. Danach verlangt (volle) Schuldfähigkeit nämlich sowohl die Fähig</w:t>
      </w:r>
      <w:r w:rsidRPr="00154A79">
        <w:rPr>
          <w:rFonts w:ascii="Times New Roman" w:hAnsi="Times New Roman"/>
          <w:szCs w:val="24"/>
        </w:rPr>
        <w:t xml:space="preserve">keit, </w:t>
      </w:r>
      <w:proofErr w:type="gramStart"/>
      <w:r w:rsidRPr="00154A79">
        <w:rPr>
          <w:rFonts w:ascii="Times New Roman" w:hAnsi="Times New Roman"/>
          <w:szCs w:val="24"/>
        </w:rPr>
        <w:t>das</w:t>
      </w:r>
      <w:proofErr w:type="gramEnd"/>
      <w:r w:rsidRPr="00154A79">
        <w:rPr>
          <w:rFonts w:ascii="Times New Roman" w:hAnsi="Times New Roman"/>
          <w:szCs w:val="24"/>
        </w:rPr>
        <w:t xml:space="preserve"> Unrecht der Tat einsehen als auch zweitens nach dieser Einsicht </w:t>
      </w:r>
      <w:r w:rsidRPr="00154A79">
        <w:rPr>
          <w:rFonts w:ascii="Times New Roman" w:hAnsi="Times New Roman"/>
          <w:szCs w:val="24"/>
        </w:rPr>
        <w:lastRenderedPageBreak/>
        <w:t>handeln zu können</w:t>
      </w:r>
      <w:r w:rsidRPr="00154A79">
        <w:rPr>
          <w:rStyle w:val="Funotenzeichen"/>
          <w:rFonts w:ascii="Times New Roman" w:hAnsi="Times New Roman"/>
          <w:szCs w:val="24"/>
        </w:rPr>
        <w:footnoteReference w:id="9"/>
      </w:r>
      <w:r w:rsidRPr="00154A79">
        <w:rPr>
          <w:rFonts w:ascii="Times New Roman" w:hAnsi="Times New Roman"/>
          <w:szCs w:val="24"/>
        </w:rPr>
        <w:t>. Darüber hinaus wird jedoch nicht konkret</w:t>
      </w:r>
      <w:r w:rsidRPr="00154A79">
        <w:rPr>
          <w:rFonts w:ascii="Times New Roman" w:hAnsi="Times New Roman"/>
          <w:szCs w:val="24"/>
        </w:rPr>
        <w:t>isiert, welche Anforderungen an die Ein</w:t>
      </w:r>
      <w:r w:rsidRPr="00154A79">
        <w:rPr>
          <w:rFonts w:ascii="Times New Roman" w:hAnsi="Times New Roman"/>
          <w:szCs w:val="24"/>
        </w:rPr>
        <w:softHyphen/>
        <w:t xml:space="preserve">sichts- und Handlungsfähigkeit zu stellen sind. </w:t>
      </w:r>
    </w:p>
    <w:p w:rsidR="007E5A67" w:rsidRDefault="00046A2F" w:rsidP="007E5A67">
      <w:pPr>
        <w:spacing w:before="120" w:line="360" w:lineRule="auto"/>
        <w:jc w:val="both"/>
        <w:rPr>
          <w:rFonts w:ascii="Times New Roman" w:hAnsi="Times New Roman"/>
          <w:szCs w:val="24"/>
        </w:rPr>
      </w:pPr>
      <w:r w:rsidRPr="00154A79">
        <w:rPr>
          <w:rFonts w:ascii="Times New Roman" w:hAnsi="Times New Roman"/>
          <w:szCs w:val="24"/>
        </w:rPr>
        <w:t>Nur aus § 3 Satz 1 JGG ergibt sich, dass hierfür offenkundig ein bestimmter Reife</w:t>
      </w:r>
      <w:r w:rsidRPr="00154A79">
        <w:rPr>
          <w:rFonts w:ascii="Times New Roman" w:hAnsi="Times New Roman"/>
          <w:szCs w:val="24"/>
        </w:rPr>
        <w:softHyphen/>
        <w:t>grad erforderlich ist</w:t>
      </w:r>
      <w:r w:rsidRPr="00154A79">
        <w:rPr>
          <w:rStyle w:val="Funotenzeichen"/>
          <w:rFonts w:ascii="Times New Roman" w:hAnsi="Times New Roman"/>
          <w:szCs w:val="24"/>
        </w:rPr>
        <w:footnoteReference w:id="10"/>
      </w:r>
      <w:r w:rsidRPr="00154A79">
        <w:rPr>
          <w:rFonts w:ascii="Times New Roman" w:hAnsi="Times New Roman"/>
          <w:szCs w:val="24"/>
        </w:rPr>
        <w:t>. Doch obwohl dies verlangt, ausdrücklich festzustellen, ob de</w:t>
      </w:r>
      <w:r w:rsidRPr="00154A79">
        <w:rPr>
          <w:rFonts w:ascii="Times New Roman" w:hAnsi="Times New Roman"/>
          <w:szCs w:val="24"/>
        </w:rPr>
        <w:t>r betref</w:t>
      </w:r>
      <w:r w:rsidRPr="00154A79">
        <w:rPr>
          <w:rFonts w:ascii="Times New Roman" w:hAnsi="Times New Roman"/>
          <w:szCs w:val="24"/>
        </w:rPr>
        <w:softHyphen/>
        <w:t xml:space="preserve">fende Täter aufgrund seiner sittlichen und geistigen Entwicklung fähig ist, </w:t>
      </w:r>
      <w:proofErr w:type="gramStart"/>
      <w:r w:rsidRPr="00154A79">
        <w:rPr>
          <w:rFonts w:ascii="Times New Roman" w:hAnsi="Times New Roman"/>
          <w:szCs w:val="24"/>
        </w:rPr>
        <w:t>das</w:t>
      </w:r>
      <w:proofErr w:type="gramEnd"/>
      <w:r w:rsidRPr="00154A79">
        <w:rPr>
          <w:rFonts w:ascii="Times New Roman" w:hAnsi="Times New Roman"/>
          <w:szCs w:val="24"/>
        </w:rPr>
        <w:t xml:space="preserve"> Unrecht der Tat einzusehen und nach dieser Einsicht zu handeln, ist damit keine positive Prüfung der Schuldfähigkeit insgesamt verbunden</w:t>
      </w:r>
      <w:r w:rsidRPr="00154A79">
        <w:rPr>
          <w:rStyle w:val="Funotenzeichen"/>
          <w:rFonts w:ascii="Times New Roman" w:hAnsi="Times New Roman"/>
          <w:szCs w:val="24"/>
        </w:rPr>
        <w:footnoteReference w:id="11"/>
      </w:r>
      <w:r w:rsidRPr="00154A79">
        <w:rPr>
          <w:rFonts w:ascii="Times New Roman" w:hAnsi="Times New Roman"/>
          <w:szCs w:val="24"/>
        </w:rPr>
        <w:t>. Die Beurteilung nach § 3 JGG</w:t>
      </w:r>
      <w:r w:rsidRPr="00154A79">
        <w:rPr>
          <w:rFonts w:ascii="Times New Roman" w:hAnsi="Times New Roman"/>
          <w:szCs w:val="24"/>
        </w:rPr>
        <w:t xml:space="preserve"> zielt lediglich darauf festzustellen, ob der erforderliche Entwicklungsstand erreicht ist oder eben nicht</w:t>
      </w:r>
      <w:r w:rsidRPr="00154A79">
        <w:rPr>
          <w:rStyle w:val="Funotenzeichen"/>
          <w:rFonts w:ascii="Times New Roman" w:hAnsi="Times New Roman"/>
          <w:szCs w:val="24"/>
        </w:rPr>
        <w:footnoteReference w:id="12"/>
      </w:r>
      <w:r w:rsidRPr="00154A79">
        <w:rPr>
          <w:rFonts w:ascii="Times New Roman" w:hAnsi="Times New Roman"/>
          <w:szCs w:val="24"/>
        </w:rPr>
        <w:t>. Es bleibt also weder Raum, etwaige Zwischenstufen auf der Ent</w:t>
      </w:r>
      <w:r w:rsidRPr="00154A79">
        <w:rPr>
          <w:rFonts w:ascii="Times New Roman" w:hAnsi="Times New Roman"/>
          <w:szCs w:val="24"/>
        </w:rPr>
        <w:t xml:space="preserve">wicklungsskala durch eine Art </w:t>
      </w:r>
      <w:r w:rsidR="007E5A67">
        <w:rPr>
          <w:rFonts w:ascii="Times New Roman" w:hAnsi="Times New Roman"/>
          <w:szCs w:val="24"/>
        </w:rPr>
        <w:t>„</w:t>
      </w:r>
      <w:r w:rsidRPr="00154A79">
        <w:rPr>
          <w:rFonts w:ascii="Times New Roman" w:hAnsi="Times New Roman"/>
          <w:szCs w:val="24"/>
        </w:rPr>
        <w:t>verminderte Verantwortungsreife” zu be</w:t>
      </w:r>
      <w:r w:rsidRPr="00154A79">
        <w:rPr>
          <w:rFonts w:ascii="Times New Roman" w:hAnsi="Times New Roman"/>
          <w:szCs w:val="24"/>
        </w:rPr>
        <w:t xml:space="preserve">rücksichtigen, </w:t>
      </w:r>
      <w:r w:rsidRPr="00154A79">
        <w:rPr>
          <w:rFonts w:ascii="Times New Roman" w:hAnsi="Times New Roman"/>
          <w:szCs w:val="24"/>
        </w:rPr>
        <w:t>noch werden andere als ausschließlich entwicklungsbedingte Defekte berücksichtigt. Insoweit gelten wiederum die Vorschriften des allgemeinen Straf</w:t>
      </w:r>
      <w:r w:rsidRPr="00154A79">
        <w:rPr>
          <w:rFonts w:ascii="Times New Roman" w:hAnsi="Times New Roman"/>
          <w:szCs w:val="24"/>
        </w:rPr>
        <w:t>rechts, so dass es durchaus denkbar ist, dass ein im Sinne des § 3 JGG</w:t>
      </w:r>
      <w:r w:rsidR="007E5A67">
        <w:rPr>
          <w:rFonts w:ascii="Times New Roman" w:hAnsi="Times New Roman"/>
          <w:szCs w:val="24"/>
        </w:rPr>
        <w:t xml:space="preserve"> verantwortungsreifer Jugendli</w:t>
      </w:r>
      <w:r w:rsidRPr="00154A79">
        <w:rPr>
          <w:rFonts w:ascii="Times New Roman" w:hAnsi="Times New Roman"/>
          <w:szCs w:val="24"/>
        </w:rPr>
        <w:t>cher im</w:t>
      </w:r>
      <w:r w:rsidRPr="00154A79">
        <w:rPr>
          <w:rFonts w:ascii="Times New Roman" w:hAnsi="Times New Roman"/>
          <w:szCs w:val="24"/>
        </w:rPr>
        <w:t xml:space="preserve"> Ergebnis jedenfalls nicht voll schuldfähig ist</w:t>
      </w:r>
      <w:r w:rsidRPr="00154A79">
        <w:rPr>
          <w:rStyle w:val="Funotenzeichen"/>
          <w:rFonts w:ascii="Times New Roman" w:hAnsi="Times New Roman"/>
          <w:szCs w:val="24"/>
        </w:rPr>
        <w:footnoteReference w:id="13"/>
      </w:r>
      <w:r w:rsidR="007E5A67">
        <w:rPr>
          <w:rFonts w:ascii="Times New Roman" w:hAnsi="Times New Roman"/>
          <w:szCs w:val="24"/>
        </w:rPr>
        <w:t xml:space="preserve">. </w:t>
      </w:r>
    </w:p>
    <w:p w:rsidR="00000000" w:rsidRPr="00154A79" w:rsidRDefault="00046A2F" w:rsidP="007E5A67">
      <w:pPr>
        <w:spacing w:before="120" w:line="360" w:lineRule="auto"/>
        <w:ind w:firstLine="708"/>
        <w:jc w:val="both"/>
        <w:rPr>
          <w:rFonts w:ascii="Times New Roman" w:hAnsi="Times New Roman"/>
          <w:szCs w:val="24"/>
        </w:rPr>
      </w:pPr>
      <w:r w:rsidRPr="00154A79">
        <w:rPr>
          <w:rFonts w:ascii="Times New Roman" w:hAnsi="Times New Roman"/>
          <w:szCs w:val="24"/>
        </w:rPr>
        <w:t>Demgegenüber ist es bei erwachsenen Straftätern entbehrlich, die Reife ge</w:t>
      </w:r>
      <w:r w:rsidRPr="00154A79">
        <w:rPr>
          <w:rFonts w:ascii="Times New Roman" w:hAnsi="Times New Roman"/>
          <w:szCs w:val="24"/>
        </w:rPr>
        <w:t>sondert festzustellen, sie wird nach Vollendung des 18. Lebensjahres unterstellt. Dies ergibt sich aus § 1 Abs. 2 JGG, wonach die V</w:t>
      </w:r>
      <w:r w:rsidRPr="00154A79">
        <w:rPr>
          <w:rFonts w:ascii="Times New Roman" w:hAnsi="Times New Roman"/>
          <w:szCs w:val="24"/>
        </w:rPr>
        <w:t>orschrift des § 3 JGG nur auf Ju</w:t>
      </w:r>
      <w:r w:rsidRPr="00154A79">
        <w:rPr>
          <w:rFonts w:ascii="Times New Roman" w:hAnsi="Times New Roman"/>
          <w:szCs w:val="24"/>
        </w:rPr>
        <w:t>gendliche über 14 und unter 18 Jahren anwendbar ist. Auch bei Heranwachsenden zwischen 18 und 21 Jahren ent</w:t>
      </w:r>
      <w:r w:rsidRPr="00154A79">
        <w:rPr>
          <w:rFonts w:ascii="Times New Roman" w:hAnsi="Times New Roman"/>
          <w:szCs w:val="24"/>
        </w:rPr>
        <w:t>fällt die Prüfung ihrer Verantwortlichkeit selbst dann, wenn sie nach § 105 Abs.1 Ziff. 1JGG aufgrund ihres Entwick</w:t>
      </w:r>
      <w:r w:rsidRPr="00154A79">
        <w:rPr>
          <w:rFonts w:ascii="Times New Roman" w:hAnsi="Times New Roman"/>
          <w:szCs w:val="24"/>
        </w:rPr>
        <w:t>lungsstandes als ei</w:t>
      </w:r>
      <w:r w:rsidRPr="00154A79">
        <w:rPr>
          <w:rFonts w:ascii="Times New Roman" w:hAnsi="Times New Roman"/>
          <w:szCs w:val="24"/>
        </w:rPr>
        <w:t>nem Jugendlichen gleichste</w:t>
      </w:r>
      <w:r w:rsidRPr="00154A79">
        <w:rPr>
          <w:rFonts w:ascii="Times New Roman" w:hAnsi="Times New Roman"/>
          <w:szCs w:val="24"/>
        </w:rPr>
        <w:t xml:space="preserve">hend behandelt werden, denn § 105 JGG enthält keine Verweisung auf § 3 JGG. </w:t>
      </w:r>
    </w:p>
    <w:p w:rsidR="007E5A67" w:rsidRDefault="00046A2F" w:rsidP="007E5A67">
      <w:pPr>
        <w:spacing w:before="120" w:line="360" w:lineRule="auto"/>
        <w:ind w:firstLine="709"/>
        <w:jc w:val="both"/>
        <w:rPr>
          <w:rFonts w:ascii="Times New Roman" w:hAnsi="Times New Roman"/>
          <w:szCs w:val="24"/>
        </w:rPr>
      </w:pPr>
      <w:r w:rsidRPr="00154A79">
        <w:rPr>
          <w:rFonts w:ascii="Times New Roman" w:hAnsi="Times New Roman"/>
          <w:szCs w:val="24"/>
        </w:rPr>
        <w:t>Unter bestimmten noch näher zu betrachtenden Voraussetzungen</w:t>
      </w:r>
      <w:r w:rsidRPr="00154A79">
        <w:rPr>
          <w:rStyle w:val="Funotenzeichen"/>
          <w:rFonts w:ascii="Times New Roman" w:hAnsi="Times New Roman"/>
          <w:szCs w:val="24"/>
        </w:rPr>
        <w:footnoteReference w:id="14"/>
      </w:r>
      <w:r w:rsidRPr="00154A79">
        <w:rPr>
          <w:rFonts w:ascii="Times New Roman" w:hAnsi="Times New Roman"/>
          <w:szCs w:val="24"/>
        </w:rPr>
        <w:t xml:space="preserve"> hält das Gesetz jedoch auch die mangelnden intellektuellen und volunt</w:t>
      </w:r>
      <w:r w:rsidRPr="00154A79">
        <w:rPr>
          <w:rFonts w:ascii="Times New Roman" w:hAnsi="Times New Roman"/>
          <w:szCs w:val="24"/>
        </w:rPr>
        <w:t>ativen Fähigkeiten Erwachse</w:t>
      </w:r>
      <w:r w:rsidRPr="00154A79">
        <w:rPr>
          <w:rFonts w:ascii="Times New Roman" w:hAnsi="Times New Roman"/>
          <w:szCs w:val="24"/>
        </w:rPr>
        <w:softHyphen/>
        <w:t>ner für beachtlich: Dabei ist in zwei Richtungen zu unterscheiden: Erstens kann sich der Mangel entweder auf die Unrechtseinsichtsfähigkeit oder aber - bei noch gege</w:t>
      </w:r>
      <w:r w:rsidRPr="00154A79">
        <w:rPr>
          <w:rFonts w:ascii="Times New Roman" w:hAnsi="Times New Roman"/>
          <w:szCs w:val="24"/>
        </w:rPr>
        <w:t>bener Unrechtseinsicht - auf die Fähigkeit beziehen, nach dies</w:t>
      </w:r>
      <w:r w:rsidRPr="00154A79">
        <w:rPr>
          <w:rFonts w:ascii="Times New Roman" w:hAnsi="Times New Roman"/>
          <w:szCs w:val="24"/>
        </w:rPr>
        <w:t>er Einsicht zu han</w:t>
      </w:r>
      <w:r w:rsidRPr="00154A79">
        <w:rPr>
          <w:rFonts w:ascii="Times New Roman" w:hAnsi="Times New Roman"/>
          <w:szCs w:val="24"/>
        </w:rPr>
        <w:t xml:space="preserve">deln. Zweitens kann jede der beiden </w:t>
      </w:r>
      <w:r w:rsidR="007E5A67">
        <w:rPr>
          <w:rFonts w:ascii="Times New Roman" w:hAnsi="Times New Roman"/>
          <w:szCs w:val="24"/>
        </w:rPr>
        <w:t>„</w:t>
      </w:r>
      <w:r w:rsidRPr="00154A79">
        <w:rPr>
          <w:rFonts w:ascii="Times New Roman" w:hAnsi="Times New Roman"/>
          <w:szCs w:val="24"/>
        </w:rPr>
        <w:t>Mängelerscheinung</w:t>
      </w:r>
      <w:r w:rsidR="007E5A67">
        <w:rPr>
          <w:rFonts w:ascii="Times New Roman" w:hAnsi="Times New Roman"/>
          <w:szCs w:val="24"/>
        </w:rPr>
        <w:t>en” bewirken, dass die Schuldfä</w:t>
      </w:r>
      <w:r w:rsidRPr="00154A79">
        <w:rPr>
          <w:rFonts w:ascii="Times New Roman" w:hAnsi="Times New Roman"/>
          <w:szCs w:val="24"/>
        </w:rPr>
        <w:t>higkeit entweder vermindert oder gar gänzlich ausgeschlossen ist. Kombi</w:t>
      </w:r>
      <w:r w:rsidRPr="00154A79">
        <w:rPr>
          <w:rFonts w:ascii="Times New Roman" w:hAnsi="Times New Roman"/>
          <w:szCs w:val="24"/>
        </w:rPr>
        <w:t xml:space="preserve">niert man diese Aspekte miteinander, so ergeben sich vier </w:t>
      </w:r>
      <w:r w:rsidRPr="00154A79">
        <w:rPr>
          <w:rFonts w:ascii="Times New Roman" w:hAnsi="Times New Roman"/>
          <w:szCs w:val="24"/>
        </w:rPr>
        <w:lastRenderedPageBreak/>
        <w:t>Fallgruppen, die sich</w:t>
      </w:r>
      <w:r w:rsidRPr="00154A79">
        <w:rPr>
          <w:rFonts w:ascii="Times New Roman" w:hAnsi="Times New Roman"/>
          <w:szCs w:val="24"/>
        </w:rPr>
        <w:t xml:space="preserve"> auch in den in den Formulierungen der §§ 20 und 21 StGB wiede</w:t>
      </w:r>
      <w:r w:rsidR="007E5A67">
        <w:rPr>
          <w:rFonts w:ascii="Times New Roman" w:hAnsi="Times New Roman"/>
          <w:szCs w:val="24"/>
        </w:rPr>
        <w:t xml:space="preserve">rfinden: 1. Unfähigkeit, </w:t>
      </w:r>
      <w:proofErr w:type="gramStart"/>
      <w:r w:rsidR="007E5A67">
        <w:rPr>
          <w:rFonts w:ascii="Times New Roman" w:hAnsi="Times New Roman"/>
          <w:szCs w:val="24"/>
        </w:rPr>
        <w:t>das</w:t>
      </w:r>
      <w:proofErr w:type="gramEnd"/>
      <w:r w:rsidR="007E5A67">
        <w:rPr>
          <w:rFonts w:ascii="Times New Roman" w:hAnsi="Times New Roman"/>
          <w:szCs w:val="24"/>
        </w:rPr>
        <w:t xml:space="preserve"> Un</w:t>
      </w:r>
      <w:r w:rsidRPr="00154A79">
        <w:rPr>
          <w:rFonts w:ascii="Times New Roman" w:hAnsi="Times New Roman"/>
          <w:szCs w:val="24"/>
        </w:rPr>
        <w:t>recht der Tat einzusehen, § 20, 1.Alt. StGB, 2. Unf</w:t>
      </w:r>
      <w:r w:rsidR="007E5A67">
        <w:rPr>
          <w:rFonts w:ascii="Times New Roman" w:hAnsi="Times New Roman"/>
          <w:szCs w:val="24"/>
        </w:rPr>
        <w:t>ähigkeit, nach der gegebenen Un</w:t>
      </w:r>
      <w:r w:rsidRPr="00154A79">
        <w:rPr>
          <w:rFonts w:ascii="Times New Roman" w:hAnsi="Times New Roman"/>
          <w:szCs w:val="24"/>
        </w:rPr>
        <w:t xml:space="preserve">rechtseinsicht zu handeln, </w:t>
      </w:r>
    </w:p>
    <w:p w:rsidR="007E5A67" w:rsidRPr="007E5A67" w:rsidRDefault="007E5A67" w:rsidP="007E5A67">
      <w:pPr>
        <w:spacing w:before="120" w:line="360" w:lineRule="auto"/>
        <w:ind w:firstLine="709"/>
        <w:jc w:val="center"/>
        <w:rPr>
          <w:rFonts w:ascii="Times New Roman" w:hAnsi="Times New Roman"/>
          <w:i/>
          <w:szCs w:val="24"/>
        </w:rPr>
      </w:pPr>
      <w:r w:rsidRPr="007E5A67">
        <w:rPr>
          <w:rFonts w:ascii="Times New Roman" w:hAnsi="Times New Roman"/>
          <w:i/>
          <w:highlight w:val="lightGray"/>
        </w:rPr>
        <w:t>Jura 2001, 378</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t>§ 20, 2. Alt. StGB, 3. Erheblich verminderte Fähigke</w:t>
      </w:r>
      <w:r w:rsidRPr="00154A79">
        <w:rPr>
          <w:rFonts w:ascii="Times New Roman" w:hAnsi="Times New Roman"/>
          <w:szCs w:val="24"/>
        </w:rPr>
        <w:t xml:space="preserve">it, </w:t>
      </w:r>
      <w:proofErr w:type="gramStart"/>
      <w:r w:rsidRPr="00154A79">
        <w:rPr>
          <w:rFonts w:ascii="Times New Roman" w:hAnsi="Times New Roman"/>
          <w:szCs w:val="24"/>
        </w:rPr>
        <w:t>das</w:t>
      </w:r>
      <w:proofErr w:type="gramEnd"/>
      <w:r w:rsidRPr="00154A79">
        <w:rPr>
          <w:rFonts w:ascii="Times New Roman" w:hAnsi="Times New Roman"/>
          <w:szCs w:val="24"/>
        </w:rPr>
        <w:t xml:space="preserve"> Unrecht der Tat einzusehen, § 21, 1. Alt. StGB, 4. Erheblich verminderte Fähigkeit, nach der gegebenen Unrechtseinsicht zu han</w:t>
      </w:r>
      <w:r w:rsidRPr="00154A79">
        <w:rPr>
          <w:rFonts w:ascii="Times New Roman" w:hAnsi="Times New Roman"/>
          <w:szCs w:val="24"/>
        </w:rPr>
        <w:softHyphen/>
        <w:t xml:space="preserve">deln, § 21, 2. Alt. StGB. </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t>Allerdings ist zu bedenken, dass die Existenzberechtigung der 1. Fallgruppe vielfach in Zweif</w:t>
      </w:r>
      <w:r w:rsidRPr="00154A79">
        <w:rPr>
          <w:rFonts w:ascii="Times New Roman" w:hAnsi="Times New Roman"/>
          <w:szCs w:val="24"/>
        </w:rPr>
        <w:t>el gezogen wird und auch der Anwendungsbereich der 3. Fallgruppe größe</w:t>
      </w:r>
      <w:r w:rsidRPr="00154A79">
        <w:rPr>
          <w:rFonts w:ascii="Times New Roman" w:hAnsi="Times New Roman"/>
          <w:szCs w:val="24"/>
        </w:rPr>
        <w:t>ren Einschränkungen unterworfen ist, als es sich bei dieser rein strukturellen Be</w:t>
      </w:r>
      <w:r w:rsidR="007E5A67">
        <w:rPr>
          <w:rFonts w:ascii="Times New Roman" w:hAnsi="Times New Roman"/>
          <w:szCs w:val="24"/>
        </w:rPr>
        <w:t>trach</w:t>
      </w:r>
      <w:r w:rsidRPr="00154A79">
        <w:rPr>
          <w:rFonts w:ascii="Times New Roman" w:hAnsi="Times New Roman"/>
          <w:szCs w:val="24"/>
        </w:rPr>
        <w:t xml:space="preserve">tungsweise erahnen </w:t>
      </w:r>
      <w:proofErr w:type="spellStart"/>
      <w:r w:rsidRPr="00154A79">
        <w:rPr>
          <w:rFonts w:ascii="Times New Roman" w:hAnsi="Times New Roman"/>
          <w:szCs w:val="24"/>
        </w:rPr>
        <w:t>läßt</w:t>
      </w:r>
      <w:proofErr w:type="spellEnd"/>
      <w:r w:rsidRPr="00154A79">
        <w:rPr>
          <w:rFonts w:ascii="Times New Roman" w:hAnsi="Times New Roman"/>
          <w:szCs w:val="24"/>
        </w:rPr>
        <w:t xml:space="preserve">. Beides erklärt sich erst dann, wenn man auch § 17 StGB mit in den Blick </w:t>
      </w:r>
      <w:r w:rsidRPr="00154A79">
        <w:rPr>
          <w:rFonts w:ascii="Times New Roman" w:hAnsi="Times New Roman"/>
          <w:szCs w:val="24"/>
        </w:rPr>
        <w:t>nimmt. Das Gesetz stellt mit dieser Regelung des Ver</w:t>
      </w:r>
      <w:r w:rsidRPr="00154A79">
        <w:rPr>
          <w:rFonts w:ascii="Times New Roman" w:hAnsi="Times New Roman"/>
          <w:szCs w:val="24"/>
        </w:rPr>
        <w:t>botsirrtums eine weitere Vorschrift zur Verfügung, die sich ebenfalls auf die Unrechts</w:t>
      </w:r>
      <w:r w:rsidRPr="00154A79">
        <w:rPr>
          <w:rFonts w:ascii="Times New Roman" w:hAnsi="Times New Roman"/>
          <w:szCs w:val="24"/>
        </w:rPr>
        <w:t>einsicht be</w:t>
      </w:r>
      <w:r w:rsidRPr="00154A79">
        <w:rPr>
          <w:rFonts w:ascii="Times New Roman" w:hAnsi="Times New Roman"/>
          <w:szCs w:val="24"/>
        </w:rPr>
        <w:t>zieht: War die Unrechtseinsicht für den Täter unvermeidbar aus</w:t>
      </w:r>
      <w:r w:rsidRPr="00154A79">
        <w:rPr>
          <w:rFonts w:ascii="Times New Roman" w:hAnsi="Times New Roman"/>
          <w:szCs w:val="24"/>
        </w:rPr>
        <w:softHyphen/>
        <w:t>geschlossen, so führt dies in gleicher We</w:t>
      </w:r>
      <w:r w:rsidRPr="00154A79">
        <w:rPr>
          <w:rFonts w:ascii="Times New Roman" w:hAnsi="Times New Roman"/>
          <w:szCs w:val="24"/>
        </w:rPr>
        <w:t xml:space="preserve">ise zum Schuldausschluss wie § 20 </w:t>
      </w:r>
      <w:proofErr w:type="gramStart"/>
      <w:r w:rsidRPr="00154A79">
        <w:rPr>
          <w:rFonts w:ascii="Times New Roman" w:hAnsi="Times New Roman"/>
          <w:szCs w:val="24"/>
        </w:rPr>
        <w:t>StGB ,</w:t>
      </w:r>
      <w:proofErr w:type="gramEnd"/>
      <w:r w:rsidRPr="00154A79">
        <w:rPr>
          <w:rFonts w:ascii="Times New Roman" w:hAnsi="Times New Roman"/>
          <w:szCs w:val="24"/>
        </w:rPr>
        <w:t xml:space="preserve"> war das Fehlen der Unrechtseinsicht hingegen vermeidbar, kommt - wie auch bei § 21 StGB - immerhin noch die Möglichkeit in Betracht, angesichts der Reduzierung des Schuldmaßes die Strafe zu mildern. Nun stellt § 17 </w:t>
      </w:r>
      <w:r w:rsidRPr="00154A79">
        <w:rPr>
          <w:rFonts w:ascii="Times New Roman" w:hAnsi="Times New Roman"/>
          <w:szCs w:val="24"/>
        </w:rPr>
        <w:t>StGB allerdings gar nicht erst darauf ab, ob der Tä</w:t>
      </w:r>
      <w:r w:rsidRPr="00154A79">
        <w:rPr>
          <w:rFonts w:ascii="Times New Roman" w:hAnsi="Times New Roman"/>
          <w:szCs w:val="24"/>
        </w:rPr>
        <w:t xml:space="preserve">ter theoretisch die </w:t>
      </w:r>
      <w:r w:rsidRPr="00154A79">
        <w:rPr>
          <w:rFonts w:ascii="Times New Roman" w:hAnsi="Times New Roman"/>
          <w:szCs w:val="24"/>
        </w:rPr>
        <w:t>Fähigkeit</w:t>
      </w:r>
      <w:r w:rsidRPr="00154A79">
        <w:rPr>
          <w:rFonts w:ascii="Times New Roman" w:hAnsi="Times New Roman"/>
          <w:szCs w:val="24"/>
        </w:rPr>
        <w:t xml:space="preserve"> zur Unrechtseinsicht gehabt hätte, sondern maßgeblich ist danach allein, ob der Täter diese Einsicht im konkre</w:t>
      </w:r>
      <w:r w:rsidRPr="00154A79">
        <w:rPr>
          <w:rFonts w:ascii="Times New Roman" w:hAnsi="Times New Roman"/>
          <w:szCs w:val="24"/>
        </w:rPr>
        <w:t>ten Fall letztendlich faktisch hatte oder nicht. Erst § 17 StGB</w:t>
      </w:r>
      <w:r w:rsidRPr="00154A79">
        <w:rPr>
          <w:rFonts w:ascii="Times New Roman" w:hAnsi="Times New Roman"/>
          <w:szCs w:val="24"/>
        </w:rPr>
        <w:t xml:space="preserve"> macht damit deutlich, was auch für die §§ 20 und 21 StGB in ihrer jeweils ersten Alternative gilt, dort aber mißverständlich ausgedrückt ist</w:t>
      </w:r>
      <w:r w:rsidRPr="00154A79">
        <w:rPr>
          <w:rStyle w:val="Funotenzeichen"/>
          <w:rFonts w:ascii="Times New Roman" w:hAnsi="Times New Roman"/>
          <w:szCs w:val="24"/>
        </w:rPr>
        <w:footnoteReference w:id="15"/>
      </w:r>
      <w:r w:rsidRPr="00154A79">
        <w:rPr>
          <w:rFonts w:ascii="Times New Roman" w:hAnsi="Times New Roman"/>
          <w:szCs w:val="24"/>
        </w:rPr>
        <w:t xml:space="preserve">: Es ist nicht etwa die fehlende oder verminderte </w:t>
      </w:r>
      <w:r w:rsidRPr="00154A79">
        <w:rPr>
          <w:rFonts w:ascii="Times New Roman" w:hAnsi="Times New Roman"/>
          <w:szCs w:val="24"/>
        </w:rPr>
        <w:t xml:space="preserve">Fähigkeit </w:t>
      </w:r>
      <w:r w:rsidRPr="00154A79">
        <w:rPr>
          <w:rFonts w:ascii="Times New Roman" w:hAnsi="Times New Roman"/>
          <w:szCs w:val="24"/>
        </w:rPr>
        <w:t>zur Unrechtseinsicht als solche, die sich schuldaussch</w:t>
      </w:r>
      <w:r w:rsidRPr="00154A79">
        <w:rPr>
          <w:rFonts w:ascii="Times New Roman" w:hAnsi="Times New Roman"/>
          <w:szCs w:val="24"/>
        </w:rPr>
        <w:t>ließend oder -min</w:t>
      </w:r>
      <w:r w:rsidRPr="00154A79">
        <w:rPr>
          <w:rFonts w:ascii="Times New Roman" w:hAnsi="Times New Roman"/>
          <w:szCs w:val="24"/>
        </w:rPr>
        <w:t>dernd auswirkt, sondern der Um</w:t>
      </w:r>
      <w:r w:rsidRPr="00154A79">
        <w:rPr>
          <w:rFonts w:ascii="Times New Roman" w:hAnsi="Times New Roman"/>
          <w:szCs w:val="24"/>
        </w:rPr>
        <w:t>stand, dass dem Täter im Ergebnis die Unrechtsein</w:t>
      </w:r>
      <w:r w:rsidRPr="00154A79">
        <w:rPr>
          <w:rFonts w:ascii="Times New Roman" w:hAnsi="Times New Roman"/>
          <w:szCs w:val="24"/>
        </w:rPr>
        <w:t>sicht gefehlt hat. Somit setzen die §§ 17, 20, 1.Alt. und 21, 1.Alt. StGB gleicher</w:t>
      </w:r>
      <w:r w:rsidRPr="00154A79">
        <w:rPr>
          <w:rFonts w:ascii="Times New Roman" w:hAnsi="Times New Roman"/>
          <w:szCs w:val="24"/>
        </w:rPr>
        <w:t>maßen</w:t>
      </w:r>
      <w:r w:rsidR="007E5A67">
        <w:rPr>
          <w:rFonts w:ascii="Times New Roman" w:hAnsi="Times New Roman"/>
          <w:szCs w:val="24"/>
        </w:rPr>
        <w:t xml:space="preserve"> voraus, dass dem Täter zum Tat</w:t>
      </w:r>
      <w:r w:rsidRPr="00154A79">
        <w:rPr>
          <w:rFonts w:ascii="Times New Roman" w:hAnsi="Times New Roman"/>
          <w:szCs w:val="24"/>
        </w:rPr>
        <w:t>zeitpunkt die Unrechtseinsicht fehlt,</w:t>
      </w:r>
      <w:r w:rsidRPr="00154A79">
        <w:rPr>
          <w:rFonts w:ascii="Times New Roman" w:hAnsi="Times New Roman"/>
          <w:szCs w:val="24"/>
        </w:rPr>
        <w:t xml:space="preserve"> sie un</w:t>
      </w:r>
      <w:r w:rsidRPr="00154A79">
        <w:rPr>
          <w:rFonts w:ascii="Times New Roman" w:hAnsi="Times New Roman"/>
          <w:szCs w:val="24"/>
        </w:rPr>
        <w:t>terscheiden sich nur in der jeweiligen Ursa</w:t>
      </w:r>
      <w:r w:rsidRPr="00154A79">
        <w:rPr>
          <w:rFonts w:ascii="Times New Roman" w:hAnsi="Times New Roman"/>
          <w:szCs w:val="24"/>
        </w:rPr>
        <w:softHyphen/>
        <w:t>che hierfür</w:t>
      </w:r>
      <w:r w:rsidRPr="00154A79">
        <w:rPr>
          <w:rStyle w:val="Funotenzeichen"/>
          <w:rFonts w:ascii="Times New Roman" w:hAnsi="Times New Roman"/>
          <w:szCs w:val="24"/>
        </w:rPr>
        <w:footnoteReference w:id="16"/>
      </w:r>
      <w:r w:rsidRPr="00154A79">
        <w:rPr>
          <w:rFonts w:ascii="Times New Roman" w:hAnsi="Times New Roman"/>
          <w:szCs w:val="24"/>
        </w:rPr>
        <w:t>: Sie liegt bei §§ 20, 21 StGB darin, da</w:t>
      </w:r>
      <w:r w:rsidR="007E5A67">
        <w:rPr>
          <w:rFonts w:ascii="Times New Roman" w:hAnsi="Times New Roman"/>
          <w:szCs w:val="24"/>
        </w:rPr>
        <w:t>ss eine bestimmte seelische Stö</w:t>
      </w:r>
      <w:r w:rsidRPr="00154A79">
        <w:rPr>
          <w:rFonts w:ascii="Times New Roman" w:hAnsi="Times New Roman"/>
          <w:szCs w:val="24"/>
        </w:rPr>
        <w:t>rung sich derart auf die Psyche des Täters ausgewirkt hat, dass dessen Einsichtsfä</w:t>
      </w:r>
      <w:r w:rsidRPr="00154A79">
        <w:rPr>
          <w:rFonts w:ascii="Times New Roman" w:hAnsi="Times New Roman"/>
          <w:szCs w:val="24"/>
        </w:rPr>
        <w:t>higkeit schon konstitutionell bedingt</w:t>
      </w:r>
      <w:r w:rsidRPr="00154A79">
        <w:rPr>
          <w:rFonts w:ascii="Times New Roman" w:hAnsi="Times New Roman"/>
          <w:szCs w:val="24"/>
        </w:rPr>
        <w:t xml:space="preserve"> ausge</w:t>
      </w:r>
      <w:r w:rsidRPr="00154A79">
        <w:rPr>
          <w:rFonts w:ascii="Times New Roman" w:hAnsi="Times New Roman"/>
          <w:szCs w:val="24"/>
        </w:rPr>
        <w:t>schlossen bzw. vermindert ist</w:t>
      </w:r>
      <w:r w:rsidRPr="00154A79">
        <w:rPr>
          <w:rStyle w:val="Funotenzeichen"/>
          <w:rFonts w:ascii="Times New Roman" w:hAnsi="Times New Roman"/>
          <w:szCs w:val="24"/>
        </w:rPr>
        <w:footnoteReference w:id="17"/>
      </w:r>
      <w:r w:rsidRPr="00154A79">
        <w:rPr>
          <w:rFonts w:ascii="Times New Roman" w:hAnsi="Times New Roman"/>
          <w:szCs w:val="24"/>
        </w:rPr>
        <w:t>, wohinge</w:t>
      </w:r>
      <w:r w:rsidRPr="00154A79">
        <w:rPr>
          <w:rFonts w:ascii="Times New Roman" w:hAnsi="Times New Roman"/>
          <w:szCs w:val="24"/>
        </w:rPr>
        <w:t xml:space="preserve">gen bei einem Verbotsirrtum das aktuelle </w:t>
      </w:r>
      <w:proofErr w:type="spellStart"/>
      <w:r w:rsidRPr="00154A79">
        <w:rPr>
          <w:rFonts w:ascii="Times New Roman" w:hAnsi="Times New Roman"/>
          <w:szCs w:val="24"/>
        </w:rPr>
        <w:t>Unrechtsbewußtsein</w:t>
      </w:r>
      <w:proofErr w:type="spellEnd"/>
      <w:r w:rsidRPr="00154A79">
        <w:rPr>
          <w:rFonts w:ascii="Times New Roman" w:hAnsi="Times New Roman"/>
          <w:szCs w:val="24"/>
        </w:rPr>
        <w:t xml:space="preserve"> situationsbedingt auf</w:t>
      </w:r>
      <w:r w:rsidRPr="00154A79">
        <w:rPr>
          <w:rFonts w:ascii="Times New Roman" w:hAnsi="Times New Roman"/>
          <w:szCs w:val="24"/>
        </w:rPr>
        <w:t>grund einer kognitiven Fehlvorstellung ausgeschlossen ist</w:t>
      </w:r>
      <w:r w:rsidRPr="00154A79">
        <w:rPr>
          <w:rStyle w:val="Funotenzeichen"/>
          <w:rFonts w:ascii="Times New Roman" w:hAnsi="Times New Roman"/>
          <w:szCs w:val="24"/>
        </w:rPr>
        <w:footnoteReference w:id="18"/>
      </w:r>
      <w:r w:rsidRPr="00154A79">
        <w:rPr>
          <w:rFonts w:ascii="Times New Roman" w:hAnsi="Times New Roman"/>
          <w:szCs w:val="24"/>
        </w:rPr>
        <w:t xml:space="preserve">. </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t xml:space="preserve">Indem der Verbotsirrtum </w:t>
      </w:r>
      <w:proofErr w:type="gramStart"/>
      <w:r w:rsidRPr="00154A79">
        <w:rPr>
          <w:rFonts w:ascii="Times New Roman" w:hAnsi="Times New Roman"/>
          <w:szCs w:val="24"/>
        </w:rPr>
        <w:t>keine dauerhafte seelische Störungen</w:t>
      </w:r>
      <w:proofErr w:type="gramEnd"/>
      <w:r w:rsidRPr="00154A79">
        <w:rPr>
          <w:rFonts w:ascii="Times New Roman" w:hAnsi="Times New Roman"/>
          <w:szCs w:val="24"/>
        </w:rPr>
        <w:t xml:space="preserve"> des </w:t>
      </w:r>
      <w:r w:rsidRPr="00154A79">
        <w:rPr>
          <w:rFonts w:ascii="Times New Roman" w:hAnsi="Times New Roman"/>
          <w:szCs w:val="24"/>
        </w:rPr>
        <w:t>Täters verlangt, rich</w:t>
      </w:r>
      <w:r w:rsidR="007E5A67">
        <w:rPr>
          <w:rFonts w:ascii="Times New Roman" w:hAnsi="Times New Roman"/>
          <w:szCs w:val="24"/>
        </w:rPr>
        <w:t>tet sich § 17 StGB also an den „</w:t>
      </w:r>
      <w:r w:rsidRPr="00154A79">
        <w:rPr>
          <w:rFonts w:ascii="Times New Roman" w:hAnsi="Times New Roman"/>
          <w:szCs w:val="24"/>
        </w:rPr>
        <w:t>Normaltäter”, der jedoch gerade als schuldfähig gilt</w:t>
      </w:r>
      <w:r w:rsidRPr="00154A79">
        <w:rPr>
          <w:rStyle w:val="Funotenzeichen"/>
          <w:rFonts w:ascii="Times New Roman" w:hAnsi="Times New Roman"/>
          <w:szCs w:val="24"/>
        </w:rPr>
        <w:footnoteReference w:id="19"/>
      </w:r>
      <w:r w:rsidRPr="00154A79">
        <w:rPr>
          <w:rFonts w:ascii="Times New Roman" w:hAnsi="Times New Roman"/>
          <w:szCs w:val="24"/>
        </w:rPr>
        <w:t>. Damit ist jede weitere Erörterung des Verbotsirrtums für das Thema der Schuldfähigkeit eigentlich unergiebig. Andererseits läßt sich § 17 StGB nicht</w:t>
      </w:r>
      <w:r w:rsidRPr="00154A79">
        <w:rPr>
          <w:rFonts w:ascii="Times New Roman" w:hAnsi="Times New Roman"/>
          <w:szCs w:val="24"/>
        </w:rPr>
        <w:t xml:space="preserve"> gänzlich aus der Betrachtung ausklammern, weil aus dieser Regelung unterschiedliche Schlüsse für das Verständnis der §§ 20 und 21 StGB gezogen werden. </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t>Einig ist man sich noch darüber, dass die Einsichtsfähigkeit und die Unrechtseinsicht sukzessive aufein</w:t>
      </w:r>
      <w:r w:rsidRPr="00154A79">
        <w:rPr>
          <w:rFonts w:ascii="Times New Roman" w:hAnsi="Times New Roman"/>
          <w:szCs w:val="24"/>
        </w:rPr>
        <w:t>ander aufbauen</w:t>
      </w:r>
      <w:r w:rsidRPr="00154A79">
        <w:rPr>
          <w:rStyle w:val="Funotenzeichen"/>
          <w:rFonts w:ascii="Times New Roman" w:hAnsi="Times New Roman"/>
          <w:szCs w:val="24"/>
        </w:rPr>
        <w:footnoteReference w:id="20"/>
      </w:r>
      <w:r w:rsidRPr="00154A79">
        <w:rPr>
          <w:rFonts w:ascii="Times New Roman" w:hAnsi="Times New Roman"/>
          <w:szCs w:val="24"/>
        </w:rPr>
        <w:t>. Nach herrschender Meinung ist dies so zu ver</w:t>
      </w:r>
      <w:r w:rsidRPr="00154A79">
        <w:rPr>
          <w:rFonts w:ascii="Times New Roman" w:hAnsi="Times New Roman"/>
          <w:szCs w:val="24"/>
        </w:rPr>
        <w:t>stehen, dass sich die Unrechtseinsicht bei dem nach § 20, 1.Alt. StGB Schuldunfähi</w:t>
      </w:r>
      <w:r w:rsidRPr="00154A79">
        <w:rPr>
          <w:rFonts w:ascii="Times New Roman" w:hAnsi="Times New Roman"/>
          <w:szCs w:val="24"/>
        </w:rPr>
        <w:t>gen schon aus logischen Gründen nicht einstellen kann, so dass sich ein solcher Tä</w:t>
      </w:r>
      <w:r w:rsidRPr="00154A79">
        <w:rPr>
          <w:rFonts w:ascii="Times New Roman" w:hAnsi="Times New Roman"/>
          <w:szCs w:val="24"/>
        </w:rPr>
        <w:t>ter zwingend auch im unverme</w:t>
      </w:r>
      <w:r w:rsidRPr="00154A79">
        <w:rPr>
          <w:rFonts w:ascii="Times New Roman" w:hAnsi="Times New Roman"/>
          <w:szCs w:val="24"/>
        </w:rPr>
        <w:t>idbaren Verbotsirrtum gem. § 17 befindet</w:t>
      </w:r>
      <w:r w:rsidRPr="00154A79">
        <w:rPr>
          <w:rStyle w:val="Funotenzeichen"/>
          <w:rFonts w:ascii="Times New Roman" w:hAnsi="Times New Roman"/>
          <w:szCs w:val="24"/>
        </w:rPr>
        <w:footnoteReference w:id="21"/>
      </w:r>
      <w:r w:rsidRPr="00154A79">
        <w:rPr>
          <w:rFonts w:ascii="Times New Roman" w:hAnsi="Times New Roman"/>
          <w:szCs w:val="24"/>
        </w:rPr>
        <w:t xml:space="preserve">. </w:t>
      </w:r>
      <w:r w:rsidRPr="007E5A67">
        <w:rPr>
          <w:rFonts w:ascii="Times New Roman" w:hAnsi="Times New Roman"/>
          <w:i/>
          <w:szCs w:val="24"/>
        </w:rPr>
        <w:t>Zipf</w:t>
      </w:r>
      <w:r w:rsidRPr="00154A79">
        <w:rPr>
          <w:rStyle w:val="Funotenzeichen"/>
          <w:rFonts w:ascii="Times New Roman" w:hAnsi="Times New Roman"/>
          <w:szCs w:val="24"/>
        </w:rPr>
        <w:footnoteReference w:id="22"/>
      </w:r>
      <w:r w:rsidRPr="00154A79">
        <w:rPr>
          <w:rFonts w:ascii="Times New Roman" w:hAnsi="Times New Roman"/>
          <w:szCs w:val="24"/>
        </w:rPr>
        <w:t xml:space="preserve"> </w:t>
      </w:r>
      <w:r w:rsidRPr="00154A79">
        <w:rPr>
          <w:rFonts w:ascii="Times New Roman" w:hAnsi="Times New Roman"/>
          <w:szCs w:val="24"/>
        </w:rPr>
        <w:t>hin</w:t>
      </w:r>
      <w:r w:rsidRPr="00154A79">
        <w:rPr>
          <w:rFonts w:ascii="Times New Roman" w:hAnsi="Times New Roman"/>
          <w:szCs w:val="24"/>
        </w:rPr>
        <w:t>ge</w:t>
      </w:r>
      <w:r w:rsidRPr="00154A79">
        <w:rPr>
          <w:rFonts w:ascii="Times New Roman" w:hAnsi="Times New Roman"/>
          <w:szCs w:val="24"/>
        </w:rPr>
        <w:t xml:space="preserve">gen meint, dass auch bei unzurechnungsfähigen Tätern das Unrechtsbewußtsein nicht schlechthin bedeutungslos sei. Welcher Ansicht man den Vorzug geben will, kann für die bloße Frage der </w:t>
      </w:r>
      <w:proofErr w:type="spellStart"/>
      <w:r w:rsidRPr="00154A79">
        <w:rPr>
          <w:rFonts w:ascii="Times New Roman" w:hAnsi="Times New Roman"/>
          <w:szCs w:val="24"/>
        </w:rPr>
        <w:t>Exculpierung</w:t>
      </w:r>
      <w:proofErr w:type="spellEnd"/>
      <w:r w:rsidRPr="00154A79">
        <w:rPr>
          <w:rFonts w:ascii="Times New Roman" w:hAnsi="Times New Roman"/>
          <w:szCs w:val="24"/>
        </w:rPr>
        <w:t xml:space="preserve"> of</w:t>
      </w:r>
      <w:r w:rsidRPr="00154A79">
        <w:rPr>
          <w:rFonts w:ascii="Times New Roman" w:hAnsi="Times New Roman"/>
          <w:szCs w:val="24"/>
        </w:rPr>
        <w:t>fen bleiben</w:t>
      </w:r>
      <w:r w:rsidRPr="00154A79">
        <w:rPr>
          <w:rStyle w:val="Funotenzeichen"/>
          <w:rFonts w:ascii="Times New Roman" w:hAnsi="Times New Roman"/>
          <w:szCs w:val="24"/>
        </w:rPr>
        <w:footnoteReference w:id="23"/>
      </w:r>
      <w:r w:rsidRPr="00154A79">
        <w:rPr>
          <w:rFonts w:ascii="Times New Roman" w:hAnsi="Times New Roman"/>
          <w:szCs w:val="24"/>
        </w:rPr>
        <w:t>. Es ist aus einem anderen Grunde entscheidend, ob man diese Rechtsfolge aus §</w:t>
      </w:r>
      <w:r w:rsidR="007E5A67">
        <w:rPr>
          <w:rFonts w:ascii="Times New Roman" w:hAnsi="Times New Roman"/>
          <w:szCs w:val="24"/>
        </w:rPr>
        <w:t xml:space="preserve"> 20 StGB oder aus § 17 StGB ent</w:t>
      </w:r>
      <w:r w:rsidRPr="00154A79">
        <w:rPr>
          <w:rFonts w:ascii="Times New Roman" w:hAnsi="Times New Roman"/>
          <w:szCs w:val="24"/>
        </w:rPr>
        <w:t>nimmt. Die in § 20 StGB genannten seelischen Störungen sind zugleich die Ein</w:t>
      </w:r>
      <w:r w:rsidRPr="00154A79">
        <w:rPr>
          <w:rFonts w:ascii="Times New Roman" w:hAnsi="Times New Roman"/>
          <w:szCs w:val="24"/>
        </w:rPr>
        <w:softHyphen/>
        <w:t>gangsvoraussetzung für die Unterbringung des Täters einem</w:t>
      </w:r>
      <w:r w:rsidR="007E5A67">
        <w:rPr>
          <w:rFonts w:ascii="Times New Roman" w:hAnsi="Times New Roman"/>
          <w:szCs w:val="24"/>
        </w:rPr>
        <w:t xml:space="preserve"> psychiatrischen Kran</w:t>
      </w:r>
      <w:r w:rsidRPr="00154A79">
        <w:rPr>
          <w:rFonts w:ascii="Times New Roman" w:hAnsi="Times New Roman"/>
          <w:szCs w:val="24"/>
        </w:rPr>
        <w:t>kenhaus nach § 63 StGB. Dies bedeutet nicht nur, dass § 20, 1. Alt. StGB keinesfalls dogmatisch überflüssig ist</w:t>
      </w:r>
      <w:r w:rsidRPr="00154A79">
        <w:rPr>
          <w:rStyle w:val="Funotenzeichen"/>
          <w:rFonts w:ascii="Times New Roman" w:hAnsi="Times New Roman"/>
          <w:szCs w:val="24"/>
        </w:rPr>
        <w:footnoteReference w:id="24"/>
      </w:r>
      <w:r w:rsidRPr="00154A79">
        <w:rPr>
          <w:rFonts w:ascii="Times New Roman" w:hAnsi="Times New Roman"/>
          <w:szCs w:val="24"/>
        </w:rPr>
        <w:t>, sondern es verlangt a</w:t>
      </w:r>
      <w:r w:rsidR="007E5A67">
        <w:rPr>
          <w:rFonts w:ascii="Times New Roman" w:hAnsi="Times New Roman"/>
          <w:szCs w:val="24"/>
        </w:rPr>
        <w:t>uch in Fällen der Einsichtsunfä</w:t>
      </w:r>
      <w:r w:rsidRPr="00154A79">
        <w:rPr>
          <w:rFonts w:ascii="Times New Roman" w:hAnsi="Times New Roman"/>
          <w:szCs w:val="24"/>
        </w:rPr>
        <w:t>higkeit darüber zu entscheiden, ob die Tat nach § 17, 1.Alt. StGB f</w:t>
      </w:r>
      <w:r w:rsidRPr="00154A79">
        <w:rPr>
          <w:rFonts w:ascii="Times New Roman" w:hAnsi="Times New Roman"/>
          <w:szCs w:val="24"/>
        </w:rPr>
        <w:t>olgenlos bleibt oder wegen § 20 StGB ggf. Maßregeln der Besserung und Si</w:t>
      </w:r>
      <w:r w:rsidRPr="00154A79">
        <w:rPr>
          <w:rFonts w:ascii="Times New Roman" w:hAnsi="Times New Roman"/>
          <w:szCs w:val="24"/>
        </w:rPr>
        <w:softHyphen/>
        <w:t>cherung nach sich zieht. - Im Ergebnis wendet man den täterfreundlichen § 17 StGB immer dann an, wenn selbst ein prinzipiell einsichtsfähiger Mensch im konkreten Fall jedoch diese Unr</w:t>
      </w:r>
      <w:r w:rsidRPr="00154A79">
        <w:rPr>
          <w:rFonts w:ascii="Times New Roman" w:hAnsi="Times New Roman"/>
          <w:szCs w:val="24"/>
        </w:rPr>
        <w:t>echtseinsicht nicht hätte erlangen können</w:t>
      </w:r>
      <w:r w:rsidRPr="00154A79">
        <w:rPr>
          <w:rStyle w:val="Funotenzeichen"/>
          <w:rFonts w:ascii="Times New Roman" w:hAnsi="Times New Roman"/>
          <w:szCs w:val="24"/>
        </w:rPr>
        <w:footnoteReference w:id="25"/>
      </w:r>
      <w:r w:rsidRPr="00154A79">
        <w:rPr>
          <w:rFonts w:ascii="Times New Roman" w:hAnsi="Times New Roman"/>
          <w:szCs w:val="24"/>
        </w:rPr>
        <w:t>.</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t>Das Verhältnis von § 21, 1. Alt. StGB zu § 17 StGB ist ebenfalls problematisch. Der nur vermindert einsichtsfähige Täter befindet sich nach dem oben Gesagten eben</w:t>
      </w:r>
      <w:r w:rsidRPr="00154A79">
        <w:rPr>
          <w:rFonts w:ascii="Times New Roman" w:hAnsi="Times New Roman"/>
          <w:szCs w:val="24"/>
        </w:rPr>
        <w:softHyphen/>
        <w:t>falls in einem Verbotsirrtum, doch ist dieser we</w:t>
      </w:r>
      <w:r w:rsidRPr="00154A79">
        <w:rPr>
          <w:rFonts w:ascii="Times New Roman" w:hAnsi="Times New Roman"/>
          <w:szCs w:val="24"/>
        </w:rPr>
        <w:t>gen der durchaus vorhandenen, wenn auch verminderten Fähigkeit zur Unrechtseinsicht, nicht zwingendermaßen unver</w:t>
      </w:r>
      <w:r w:rsidRPr="00154A79">
        <w:rPr>
          <w:rFonts w:ascii="Times New Roman" w:hAnsi="Times New Roman"/>
          <w:szCs w:val="24"/>
        </w:rPr>
        <w:t xml:space="preserve">meidbar. Deshalb ist hier danach zu unterscheiden, ob dem Täter das Fehlen der Unrechtseinsicht zum Vorwurf gemacht werden </w:t>
      </w:r>
      <w:r w:rsidRPr="00154A79">
        <w:rPr>
          <w:rFonts w:ascii="Times New Roman" w:hAnsi="Times New Roman"/>
          <w:szCs w:val="24"/>
        </w:rPr>
        <w:lastRenderedPageBreak/>
        <w:t>kann. Entgegen dem W</w:t>
      </w:r>
      <w:r w:rsidRPr="00154A79">
        <w:rPr>
          <w:rFonts w:ascii="Times New Roman" w:hAnsi="Times New Roman"/>
          <w:szCs w:val="24"/>
        </w:rPr>
        <w:t>ortlaut bleibt § 21. 1. Alt. StGB somit nur auf diejenigen Fälle anwendbar, in denen dem Täter das Fehlen der Unrechtseinsicht auch vorzuwerfen ist, ansonsten kommt ungeachtet der eigentlich nur verminderten Einsichtsfähigkeit § 20, 1.Alt. StGB zur Anwendu</w:t>
      </w:r>
      <w:r w:rsidRPr="00154A79">
        <w:rPr>
          <w:rFonts w:ascii="Times New Roman" w:hAnsi="Times New Roman"/>
          <w:szCs w:val="24"/>
        </w:rPr>
        <w:t>ng</w:t>
      </w:r>
      <w:r w:rsidRPr="00154A79">
        <w:rPr>
          <w:rStyle w:val="Funotenzeichen"/>
          <w:rFonts w:ascii="Times New Roman" w:hAnsi="Times New Roman"/>
          <w:szCs w:val="24"/>
        </w:rPr>
        <w:footnoteReference w:id="26"/>
      </w:r>
      <w:r w:rsidRPr="00154A79">
        <w:rPr>
          <w:rFonts w:ascii="Times New Roman" w:hAnsi="Times New Roman"/>
          <w:szCs w:val="24"/>
        </w:rPr>
        <w:t>. Zudem ist fraglich, ob dem Täter auch dann eine Schuldmilderung zugebilligt werden kann, wenn er zwar an einer seelischen Störung i.S. des § 21 i.V.m. § 20 StGB lei</w:t>
      </w:r>
      <w:r w:rsidRPr="00154A79">
        <w:rPr>
          <w:rFonts w:ascii="Times New Roman" w:hAnsi="Times New Roman"/>
          <w:szCs w:val="24"/>
        </w:rPr>
        <w:t>det, die daraus resultierende Verminderung der Einsichtsfähigkeit jedoch nicht im Sinn</w:t>
      </w:r>
      <w:r w:rsidRPr="00154A79">
        <w:rPr>
          <w:rFonts w:ascii="Times New Roman" w:hAnsi="Times New Roman"/>
          <w:szCs w:val="24"/>
        </w:rPr>
        <w:t>e der Vorschrift ”erheblich” ist</w:t>
      </w:r>
      <w:r w:rsidRPr="00154A79">
        <w:rPr>
          <w:rStyle w:val="Funotenzeichen"/>
          <w:rFonts w:ascii="Times New Roman" w:hAnsi="Times New Roman"/>
          <w:szCs w:val="24"/>
        </w:rPr>
        <w:footnoteReference w:id="27"/>
      </w:r>
      <w:r w:rsidRPr="00154A79">
        <w:rPr>
          <w:rFonts w:ascii="Times New Roman" w:hAnsi="Times New Roman"/>
          <w:szCs w:val="24"/>
        </w:rPr>
        <w:t>. - Ginge man davon aus, dass § 21 StGB eine Spezial</w:t>
      </w:r>
      <w:r w:rsidRPr="00154A79">
        <w:rPr>
          <w:rFonts w:ascii="Times New Roman" w:hAnsi="Times New Roman"/>
          <w:szCs w:val="24"/>
        </w:rPr>
        <w:softHyphen/>
        <w:t xml:space="preserve">vorschrift ist, welche die Anwendung des § 17 StGB ausschließt, käme eine </w:t>
      </w:r>
      <w:proofErr w:type="spellStart"/>
      <w:r w:rsidRPr="00154A79">
        <w:rPr>
          <w:rFonts w:ascii="Times New Roman" w:hAnsi="Times New Roman"/>
          <w:szCs w:val="24"/>
        </w:rPr>
        <w:t>Decul</w:t>
      </w:r>
      <w:r w:rsidRPr="00154A79">
        <w:rPr>
          <w:rFonts w:ascii="Times New Roman" w:hAnsi="Times New Roman"/>
          <w:szCs w:val="24"/>
        </w:rPr>
        <w:t>pierung</w:t>
      </w:r>
      <w:proofErr w:type="spellEnd"/>
      <w:r w:rsidRPr="00154A79">
        <w:rPr>
          <w:rFonts w:ascii="Times New Roman" w:hAnsi="Times New Roman"/>
          <w:szCs w:val="24"/>
        </w:rPr>
        <w:t xml:space="preserve"> nicht in Betracht. Da aber § 17 StGB für eine Schuldmilderung lediglich die Vermei</w:t>
      </w:r>
      <w:r w:rsidRPr="00154A79">
        <w:rPr>
          <w:rFonts w:ascii="Times New Roman" w:hAnsi="Times New Roman"/>
          <w:szCs w:val="24"/>
        </w:rPr>
        <w:t>dbarkeit des Verbotsirrtums verlangt, wäre dieses Ergebnis ungerecht: Der gesunde Normaltäter würde gegenüber demjenigen bevorzugt, der einen - wenn auch nur ”unerheblichen” - Defekt hat</w:t>
      </w:r>
      <w:r w:rsidRPr="00154A79">
        <w:rPr>
          <w:rStyle w:val="Funotenzeichen"/>
          <w:rFonts w:ascii="Times New Roman" w:hAnsi="Times New Roman"/>
          <w:szCs w:val="24"/>
        </w:rPr>
        <w:footnoteReference w:id="28"/>
      </w:r>
      <w:r w:rsidRPr="00154A79">
        <w:rPr>
          <w:rFonts w:ascii="Times New Roman" w:hAnsi="Times New Roman"/>
          <w:szCs w:val="24"/>
        </w:rPr>
        <w:t>. Daher gibt die herrschende Meinung § 17 StGB den Vorzug und eröffne</w:t>
      </w:r>
      <w:r w:rsidRPr="00154A79">
        <w:rPr>
          <w:rFonts w:ascii="Times New Roman" w:hAnsi="Times New Roman"/>
          <w:szCs w:val="24"/>
        </w:rPr>
        <w:t>t somit für alle Fälle fehlender Unrechtseinsicht die Möglich</w:t>
      </w:r>
      <w:r w:rsidRPr="00154A79">
        <w:rPr>
          <w:rFonts w:ascii="Times New Roman" w:hAnsi="Times New Roman"/>
          <w:szCs w:val="24"/>
        </w:rPr>
        <w:t>keit der Schuldminderung, und zwar auch dann, wenn die Einsichtsfähigkeit entgegen dem Wortlaut des § 21, 1. Alt. StGB nicht einmal erheblich vermindert ist</w:t>
      </w:r>
      <w:r w:rsidRPr="00154A79">
        <w:rPr>
          <w:rStyle w:val="Funotenzeichen"/>
          <w:rFonts w:ascii="Times New Roman" w:hAnsi="Times New Roman"/>
          <w:szCs w:val="24"/>
        </w:rPr>
        <w:footnoteReference w:id="29"/>
      </w:r>
      <w:r w:rsidRPr="00154A79">
        <w:rPr>
          <w:rFonts w:ascii="Times New Roman" w:hAnsi="Times New Roman"/>
          <w:szCs w:val="24"/>
        </w:rPr>
        <w:t>.</w:t>
      </w:r>
    </w:p>
    <w:p w:rsidR="00000000" w:rsidRPr="00154A79" w:rsidRDefault="007E5A67" w:rsidP="000C0B71">
      <w:pPr>
        <w:pStyle w:val="berschrift2"/>
        <w:spacing w:line="360" w:lineRule="auto"/>
        <w:jc w:val="both"/>
        <w:rPr>
          <w:rFonts w:ascii="Times New Roman" w:hAnsi="Times New Roman"/>
          <w:szCs w:val="24"/>
        </w:rPr>
      </w:pPr>
      <w:r>
        <w:rPr>
          <w:rFonts w:ascii="Times New Roman" w:hAnsi="Times New Roman"/>
          <w:szCs w:val="24"/>
        </w:rPr>
        <w:t>I</w:t>
      </w:r>
      <w:r w:rsidR="00046A2F" w:rsidRPr="00154A79">
        <w:rPr>
          <w:rFonts w:ascii="Times New Roman" w:hAnsi="Times New Roman"/>
          <w:szCs w:val="24"/>
        </w:rPr>
        <w:t>II. Der Aufbau der §§ 20, 21 StGB</w:t>
      </w:r>
    </w:p>
    <w:p w:rsidR="007E5A67" w:rsidRDefault="00046A2F" w:rsidP="000C0B71">
      <w:pPr>
        <w:spacing w:line="360" w:lineRule="auto"/>
        <w:jc w:val="both"/>
        <w:rPr>
          <w:rFonts w:ascii="Times New Roman" w:hAnsi="Times New Roman"/>
          <w:szCs w:val="24"/>
        </w:rPr>
      </w:pPr>
      <w:r w:rsidRPr="00154A79">
        <w:rPr>
          <w:rFonts w:ascii="Times New Roman" w:hAnsi="Times New Roman"/>
          <w:szCs w:val="24"/>
        </w:rPr>
        <w:t>Wie oben schon angedeutet, sind die §§ 20, 21 StGB parallel zueinander zweistöc</w:t>
      </w:r>
      <w:r w:rsidRPr="00154A79">
        <w:rPr>
          <w:rFonts w:ascii="Times New Roman" w:hAnsi="Times New Roman"/>
          <w:szCs w:val="24"/>
        </w:rPr>
        <w:softHyphen/>
      </w:r>
      <w:r w:rsidRPr="00154A79">
        <w:rPr>
          <w:rFonts w:ascii="Times New Roman" w:hAnsi="Times New Roman"/>
          <w:szCs w:val="24"/>
        </w:rPr>
        <w:t>kig aufgebaut: Um festzustellen, ob der die Schuldfähigkeit des Täters zum Tatzeit</w:t>
      </w:r>
      <w:r w:rsidRPr="00154A79">
        <w:rPr>
          <w:rFonts w:ascii="Times New Roman" w:hAnsi="Times New Roman"/>
          <w:szCs w:val="24"/>
        </w:rPr>
        <w:t xml:space="preserve">punkt ausgeschlossen oder jedenfalls vermindert war, ist zu prüfen, ob zur Zeit der Tat </w:t>
      </w:r>
    </w:p>
    <w:p w:rsidR="007E5A67" w:rsidRPr="007E5A67" w:rsidRDefault="007E5A67" w:rsidP="007E5A67">
      <w:pPr>
        <w:spacing w:line="360" w:lineRule="auto"/>
        <w:jc w:val="center"/>
        <w:rPr>
          <w:rFonts w:ascii="Times New Roman" w:hAnsi="Times New Roman"/>
          <w:i/>
          <w:szCs w:val="24"/>
        </w:rPr>
      </w:pPr>
      <w:r>
        <w:rPr>
          <w:rFonts w:ascii="Times New Roman" w:hAnsi="Times New Roman"/>
          <w:i/>
          <w:highlight w:val="lightGray"/>
        </w:rPr>
        <w:t>Jura 2001, 379</w:t>
      </w:r>
    </w:p>
    <w:p w:rsidR="00000000" w:rsidRPr="00154A79" w:rsidRDefault="00046A2F" w:rsidP="000C0B71">
      <w:pPr>
        <w:spacing w:line="360" w:lineRule="auto"/>
        <w:jc w:val="both"/>
        <w:rPr>
          <w:rFonts w:ascii="Times New Roman" w:hAnsi="Times New Roman"/>
          <w:szCs w:val="24"/>
        </w:rPr>
      </w:pPr>
      <w:r w:rsidRPr="00154A79">
        <w:rPr>
          <w:rFonts w:ascii="Times New Roman" w:hAnsi="Times New Roman"/>
          <w:szCs w:val="24"/>
        </w:rPr>
        <w:t xml:space="preserve">eine </w:t>
      </w:r>
      <w:r w:rsidRPr="00154A79">
        <w:rPr>
          <w:rFonts w:ascii="Times New Roman" w:hAnsi="Times New Roman"/>
          <w:szCs w:val="24"/>
        </w:rPr>
        <w:t>seelische Störung vorlag, die unter eines oder mehrere</w:t>
      </w:r>
      <w:r w:rsidRPr="00154A79">
        <w:rPr>
          <w:rStyle w:val="Funotenzeichen"/>
          <w:rFonts w:ascii="Times New Roman" w:hAnsi="Times New Roman"/>
          <w:szCs w:val="24"/>
        </w:rPr>
        <w:footnoteReference w:id="30"/>
      </w:r>
      <w:r w:rsidRPr="00154A79">
        <w:rPr>
          <w:rFonts w:ascii="Times New Roman" w:hAnsi="Times New Roman"/>
          <w:szCs w:val="24"/>
        </w:rPr>
        <w:t xml:space="preserve"> der vier in § 20 StGB abschließend</w:t>
      </w:r>
      <w:r w:rsidRPr="00154A79">
        <w:rPr>
          <w:rStyle w:val="Funotenzeichen"/>
          <w:rFonts w:ascii="Times New Roman" w:hAnsi="Times New Roman"/>
          <w:szCs w:val="24"/>
        </w:rPr>
        <w:footnoteReference w:id="31"/>
      </w:r>
      <w:r w:rsidRPr="00154A79">
        <w:rPr>
          <w:rFonts w:ascii="Times New Roman" w:hAnsi="Times New Roman"/>
          <w:szCs w:val="24"/>
        </w:rPr>
        <w:t xml:space="preserve"> aufgezählten sog. Eingangsmerkmale fällt. Demnach ist nur bei einem positiven Befund über eine krankhafte seelische Störung, eine tiefgreifende Bewußtseinsstörung, </w:t>
      </w:r>
      <w:r w:rsidRPr="00154A79">
        <w:rPr>
          <w:rFonts w:ascii="Times New Roman" w:hAnsi="Times New Roman"/>
          <w:szCs w:val="24"/>
        </w:rPr>
        <w:t>über Schwachsinn oder eine schwere andere seelische Abar</w:t>
      </w:r>
      <w:r w:rsidRPr="00154A79">
        <w:rPr>
          <w:rFonts w:ascii="Times New Roman" w:hAnsi="Times New Roman"/>
          <w:szCs w:val="24"/>
        </w:rPr>
        <w:t xml:space="preserve">tigkeit erst in einem zweiten Schritt zu fragen, ob und inwieweit sich dies (wiederum im Tatzeitpunkt) auf die Fähigkeit </w:t>
      </w:r>
      <w:r w:rsidRPr="00154A79">
        <w:rPr>
          <w:rFonts w:ascii="Times New Roman" w:hAnsi="Times New Roman"/>
          <w:szCs w:val="24"/>
        </w:rPr>
        <w:t xml:space="preserve">des Täters ausgewirkt hat, </w:t>
      </w:r>
      <w:proofErr w:type="gramStart"/>
      <w:r w:rsidRPr="00154A79">
        <w:rPr>
          <w:rFonts w:ascii="Times New Roman" w:hAnsi="Times New Roman"/>
          <w:szCs w:val="24"/>
        </w:rPr>
        <w:t>das  Unrecht</w:t>
      </w:r>
      <w:proofErr w:type="gramEnd"/>
      <w:r w:rsidRPr="00154A79">
        <w:rPr>
          <w:rFonts w:ascii="Times New Roman" w:hAnsi="Times New Roman"/>
          <w:szCs w:val="24"/>
        </w:rPr>
        <w:t xml:space="preserve"> der Tat einzusehen oder nach dieser E</w:t>
      </w:r>
      <w:r w:rsidRPr="00154A79">
        <w:rPr>
          <w:rFonts w:ascii="Times New Roman" w:hAnsi="Times New Roman"/>
          <w:szCs w:val="24"/>
        </w:rPr>
        <w:t>insicht zu handeln</w:t>
      </w:r>
      <w:r w:rsidRPr="00154A79">
        <w:rPr>
          <w:rStyle w:val="Funotenzeichen"/>
          <w:rFonts w:ascii="Times New Roman" w:hAnsi="Times New Roman"/>
          <w:szCs w:val="24"/>
        </w:rPr>
        <w:footnoteReference w:id="32"/>
      </w:r>
      <w:r w:rsidRPr="00154A79">
        <w:rPr>
          <w:rFonts w:ascii="Times New Roman" w:hAnsi="Times New Roman"/>
          <w:szCs w:val="24"/>
        </w:rPr>
        <w:t xml:space="preserve">. </w:t>
      </w:r>
    </w:p>
    <w:p w:rsidR="00000000" w:rsidRPr="00154A79" w:rsidRDefault="00046A2F" w:rsidP="007E5A67">
      <w:pPr>
        <w:spacing w:before="120" w:line="360" w:lineRule="auto"/>
        <w:jc w:val="both"/>
        <w:rPr>
          <w:rFonts w:ascii="Times New Roman" w:hAnsi="Times New Roman"/>
          <w:szCs w:val="24"/>
        </w:rPr>
      </w:pPr>
      <w:r w:rsidRPr="00154A79">
        <w:rPr>
          <w:rFonts w:ascii="Times New Roman" w:hAnsi="Times New Roman"/>
          <w:szCs w:val="24"/>
        </w:rPr>
        <w:lastRenderedPageBreak/>
        <w:t>Die damit beschriebene, sog. gemischte Methode wurde auch „biologisch-psycho</w:t>
      </w:r>
      <w:r w:rsidRPr="00154A79">
        <w:rPr>
          <w:rFonts w:ascii="Times New Roman" w:hAnsi="Times New Roman"/>
          <w:szCs w:val="24"/>
        </w:rPr>
        <w:t xml:space="preserve">logische Methode“ genannt, weil man ursprünglich die Merkmale der ersten Stufe und damit das gesamte Stockwerk als „biologisch“ charakterisiert hat und den </w:t>
      </w:r>
      <w:r w:rsidRPr="00154A79">
        <w:rPr>
          <w:rFonts w:ascii="Times New Roman" w:hAnsi="Times New Roman"/>
          <w:szCs w:val="24"/>
        </w:rPr>
        <w:t>dar</w:t>
      </w:r>
      <w:r w:rsidRPr="00154A79">
        <w:rPr>
          <w:rFonts w:ascii="Times New Roman" w:hAnsi="Times New Roman"/>
          <w:szCs w:val="24"/>
        </w:rPr>
        <w:t>aus ggf. resultierenden Zustand fehlender oder verminderter Einsichts- bzw. Steue</w:t>
      </w:r>
      <w:r w:rsidRPr="00154A79">
        <w:rPr>
          <w:rFonts w:ascii="Times New Roman" w:hAnsi="Times New Roman"/>
          <w:szCs w:val="24"/>
        </w:rPr>
        <w:t>rungs</w:t>
      </w:r>
      <w:r w:rsidRPr="00154A79">
        <w:rPr>
          <w:rFonts w:ascii="Times New Roman" w:hAnsi="Times New Roman"/>
          <w:szCs w:val="24"/>
        </w:rPr>
        <w:t>fähigkeit und damit das zweite Stockwerk als „psychologisch“</w:t>
      </w:r>
      <w:r w:rsidRPr="00154A79">
        <w:rPr>
          <w:rStyle w:val="Funotenzeichen"/>
          <w:rFonts w:ascii="Times New Roman" w:hAnsi="Times New Roman"/>
          <w:szCs w:val="24"/>
        </w:rPr>
        <w:t xml:space="preserve"> </w:t>
      </w:r>
      <w:r w:rsidRPr="00154A79">
        <w:rPr>
          <w:rStyle w:val="Funotenzeichen"/>
          <w:rFonts w:ascii="Times New Roman" w:hAnsi="Times New Roman"/>
          <w:szCs w:val="24"/>
        </w:rPr>
        <w:footnoteReference w:id="33"/>
      </w:r>
      <w:r w:rsidRPr="00154A79">
        <w:rPr>
          <w:rFonts w:ascii="Times New Roman" w:hAnsi="Times New Roman"/>
          <w:szCs w:val="24"/>
        </w:rPr>
        <w:t>. Doch späte</w:t>
      </w:r>
      <w:r w:rsidRPr="00154A79">
        <w:rPr>
          <w:rFonts w:ascii="Times New Roman" w:hAnsi="Times New Roman"/>
          <w:szCs w:val="24"/>
        </w:rPr>
        <w:t>stens seitdem mit der Reform 1975 auch die „anderen seelischen Abartigkeiten“ zu den Eing</w:t>
      </w:r>
      <w:r w:rsidRPr="00154A79">
        <w:rPr>
          <w:rFonts w:ascii="Times New Roman" w:hAnsi="Times New Roman"/>
          <w:szCs w:val="24"/>
        </w:rPr>
        <w:t>angsmerkmalen mit hinzugenommen worden sind</w:t>
      </w:r>
      <w:r w:rsidRPr="00154A79">
        <w:rPr>
          <w:rStyle w:val="Funotenzeichen"/>
          <w:rFonts w:ascii="Times New Roman" w:hAnsi="Times New Roman"/>
          <w:szCs w:val="24"/>
        </w:rPr>
        <w:footnoteReference w:id="34"/>
      </w:r>
      <w:r w:rsidRPr="00154A79">
        <w:rPr>
          <w:rFonts w:ascii="Times New Roman" w:hAnsi="Times New Roman"/>
          <w:szCs w:val="24"/>
        </w:rPr>
        <w:t>, ist die Bezeichnung des ersten Stockwerks als biologisch sachlich unrichtig. Auch das zweite Stockwerk ist mit Blick darauf, dass es sich einzig und allein um eine rechtliche Wertung handelt, ob der Täter in vo</w:t>
      </w:r>
      <w:r w:rsidRPr="00154A79">
        <w:rPr>
          <w:rFonts w:ascii="Times New Roman" w:hAnsi="Times New Roman"/>
          <w:szCs w:val="24"/>
        </w:rPr>
        <w:t>llem Maße für schuldfähig erachtet wird, unzutreffend gekenn</w:t>
      </w:r>
      <w:r w:rsidRPr="00154A79">
        <w:rPr>
          <w:rFonts w:ascii="Times New Roman" w:hAnsi="Times New Roman"/>
          <w:szCs w:val="24"/>
        </w:rPr>
        <w:softHyphen/>
        <w:t>zeichnet. Daher hat es sich zunehmend durchgesetzt, statt von der „biologisch-psy</w:t>
      </w:r>
      <w:r w:rsidRPr="00154A79">
        <w:rPr>
          <w:rFonts w:ascii="Times New Roman" w:hAnsi="Times New Roman"/>
          <w:szCs w:val="24"/>
        </w:rPr>
        <w:t>chologi</w:t>
      </w:r>
      <w:r w:rsidRPr="00154A79">
        <w:rPr>
          <w:rFonts w:ascii="Times New Roman" w:hAnsi="Times New Roman"/>
          <w:szCs w:val="24"/>
        </w:rPr>
        <w:softHyphen/>
        <w:t>schen“ nunmehr von der „psychisch-normativen“ Methode zu sprechen</w:t>
      </w:r>
      <w:r w:rsidRPr="00154A79">
        <w:rPr>
          <w:rStyle w:val="Funotenzeichen"/>
          <w:rFonts w:ascii="Times New Roman" w:hAnsi="Times New Roman"/>
          <w:szCs w:val="24"/>
        </w:rPr>
        <w:footnoteReference w:id="35"/>
      </w:r>
      <w:r w:rsidRPr="00154A79">
        <w:rPr>
          <w:rFonts w:ascii="Times New Roman" w:hAnsi="Times New Roman"/>
          <w:szCs w:val="24"/>
        </w:rPr>
        <w:t>. Ob dies nun den Ansprüchen an termino</w:t>
      </w:r>
      <w:r w:rsidRPr="00154A79">
        <w:rPr>
          <w:rFonts w:ascii="Times New Roman" w:hAnsi="Times New Roman"/>
          <w:szCs w:val="24"/>
        </w:rPr>
        <w:t>logische Korrektheit ge</w:t>
      </w:r>
      <w:r w:rsidR="00F41C08">
        <w:rPr>
          <w:rFonts w:ascii="Times New Roman" w:hAnsi="Times New Roman"/>
          <w:szCs w:val="24"/>
        </w:rPr>
        <w:t xml:space="preserve">nügen kann, </w:t>
      </w:r>
      <w:proofErr w:type="spellStart"/>
      <w:r w:rsidR="00F41C08">
        <w:rPr>
          <w:rFonts w:ascii="Times New Roman" w:hAnsi="Times New Roman"/>
          <w:szCs w:val="24"/>
        </w:rPr>
        <w:t>muß</w:t>
      </w:r>
      <w:proofErr w:type="spellEnd"/>
      <w:r w:rsidR="00F41C08">
        <w:rPr>
          <w:rFonts w:ascii="Times New Roman" w:hAnsi="Times New Roman"/>
          <w:szCs w:val="24"/>
        </w:rPr>
        <w:t xml:space="preserve"> bezweifelt wer</w:t>
      </w:r>
      <w:r w:rsidRPr="00154A79">
        <w:rPr>
          <w:rFonts w:ascii="Times New Roman" w:hAnsi="Times New Roman"/>
          <w:szCs w:val="24"/>
        </w:rPr>
        <w:t xml:space="preserve">den, </w:t>
      </w:r>
      <w:proofErr w:type="gramStart"/>
      <w:r w:rsidRPr="00154A79">
        <w:rPr>
          <w:rFonts w:ascii="Times New Roman" w:hAnsi="Times New Roman"/>
          <w:szCs w:val="24"/>
        </w:rPr>
        <w:t>wenn  man</w:t>
      </w:r>
      <w:proofErr w:type="gramEnd"/>
      <w:r w:rsidRPr="00154A79">
        <w:rPr>
          <w:rFonts w:ascii="Times New Roman" w:hAnsi="Times New Roman"/>
          <w:szCs w:val="24"/>
        </w:rPr>
        <w:t xml:space="preserve"> bedenkt, dass sich nicht erst auf der zweiten, sondern auch schon auf der ersten Stufe mit den Begriffen „krankhaft“, „tiefg</w:t>
      </w:r>
      <w:r w:rsidR="00F41C08">
        <w:rPr>
          <w:rFonts w:ascii="Times New Roman" w:hAnsi="Times New Roman"/>
          <w:szCs w:val="24"/>
        </w:rPr>
        <w:t>reifend“ und „schwer“ unverkenn</w:t>
      </w:r>
      <w:r w:rsidRPr="00154A79">
        <w:rPr>
          <w:rFonts w:ascii="Times New Roman" w:hAnsi="Times New Roman"/>
          <w:szCs w:val="24"/>
        </w:rPr>
        <w:t>bar normative Elemente befinde</w:t>
      </w:r>
      <w:r w:rsidRPr="00154A79">
        <w:rPr>
          <w:rFonts w:ascii="Times New Roman" w:hAnsi="Times New Roman"/>
          <w:szCs w:val="24"/>
        </w:rPr>
        <w:t>n</w:t>
      </w:r>
      <w:r w:rsidRPr="00154A79">
        <w:rPr>
          <w:rStyle w:val="Funotenzeichen"/>
          <w:rFonts w:ascii="Times New Roman" w:hAnsi="Times New Roman"/>
          <w:szCs w:val="24"/>
        </w:rPr>
        <w:footnoteReference w:id="36"/>
      </w:r>
      <w:r w:rsidRPr="00154A79">
        <w:rPr>
          <w:rFonts w:ascii="Times New Roman" w:hAnsi="Times New Roman"/>
          <w:szCs w:val="24"/>
        </w:rPr>
        <w:t xml:space="preserve">. </w:t>
      </w:r>
      <w:r w:rsidRPr="00154A79">
        <w:rPr>
          <w:rFonts w:ascii="Times New Roman" w:hAnsi="Times New Roman"/>
          <w:szCs w:val="24"/>
        </w:rPr>
        <w:t>Mit einer Fortführung des Streits um die richtige Bezeichnung der Methode wäre jedoch an dieser Stelle kein weiterer Erkenntnisge</w:t>
      </w:r>
      <w:r w:rsidRPr="00154A79">
        <w:rPr>
          <w:rFonts w:ascii="Times New Roman" w:hAnsi="Times New Roman"/>
          <w:szCs w:val="24"/>
        </w:rPr>
        <w:t>winn verbunden. Entscheidend ist allein, dass Ursache auf der ersten und Wirkung auf der zweiten Stufe kausal miteinander</w:t>
      </w:r>
      <w:r w:rsidRPr="00154A79">
        <w:rPr>
          <w:rFonts w:ascii="Times New Roman" w:hAnsi="Times New Roman"/>
          <w:szCs w:val="24"/>
        </w:rPr>
        <w:t xml:space="preserve"> verbunden sein müs</w:t>
      </w:r>
      <w:r w:rsidRPr="00154A79">
        <w:rPr>
          <w:rFonts w:ascii="Times New Roman" w:hAnsi="Times New Roman"/>
          <w:szCs w:val="24"/>
        </w:rPr>
        <w:t>sen</w:t>
      </w:r>
      <w:r w:rsidRPr="00154A79">
        <w:rPr>
          <w:rStyle w:val="Funotenzeichen"/>
          <w:rFonts w:ascii="Times New Roman" w:hAnsi="Times New Roman"/>
          <w:szCs w:val="24"/>
        </w:rPr>
        <w:footnoteReference w:id="37"/>
      </w:r>
      <w:r w:rsidRPr="00154A79">
        <w:rPr>
          <w:rFonts w:ascii="Times New Roman" w:hAnsi="Times New Roman"/>
          <w:szCs w:val="24"/>
        </w:rPr>
        <w:t>.</w:t>
      </w:r>
    </w:p>
    <w:p w:rsidR="00000000" w:rsidRPr="00154A79" w:rsidRDefault="00046A2F" w:rsidP="00F41C08">
      <w:pPr>
        <w:pStyle w:val="berschrift2"/>
        <w:spacing w:before="240" w:line="360" w:lineRule="auto"/>
        <w:jc w:val="both"/>
        <w:rPr>
          <w:rFonts w:ascii="Times New Roman" w:hAnsi="Times New Roman"/>
          <w:szCs w:val="24"/>
        </w:rPr>
      </w:pPr>
      <w:r w:rsidRPr="00154A79">
        <w:rPr>
          <w:rFonts w:ascii="Times New Roman" w:hAnsi="Times New Roman"/>
          <w:szCs w:val="24"/>
        </w:rPr>
        <w:t>1. Die Eingangsmerkmale der ersten Stufe</w:t>
      </w:r>
    </w:p>
    <w:p w:rsidR="00000000" w:rsidRPr="00154A79" w:rsidRDefault="00046A2F" w:rsidP="000C0B71">
      <w:pPr>
        <w:spacing w:line="360" w:lineRule="auto"/>
        <w:jc w:val="both"/>
        <w:rPr>
          <w:rFonts w:ascii="Times New Roman" w:hAnsi="Times New Roman"/>
          <w:szCs w:val="24"/>
        </w:rPr>
      </w:pPr>
      <w:r w:rsidRPr="00154A79">
        <w:rPr>
          <w:rFonts w:ascii="Times New Roman" w:hAnsi="Times New Roman"/>
          <w:szCs w:val="24"/>
        </w:rPr>
        <w:t>Will man prüfen, ob der Täter zum Tatzeitpunkt entgegen der gesetzlichen Regelver</w:t>
      </w:r>
      <w:r w:rsidRPr="00154A79">
        <w:rPr>
          <w:rFonts w:ascii="Times New Roman" w:hAnsi="Times New Roman"/>
          <w:szCs w:val="24"/>
        </w:rPr>
        <w:t>mutung doch nicht uneingeschränkt schuldfähig war,</w:t>
      </w:r>
      <w:r w:rsidR="00F41C08">
        <w:rPr>
          <w:rFonts w:ascii="Times New Roman" w:hAnsi="Times New Roman"/>
          <w:szCs w:val="24"/>
        </w:rPr>
        <w:t xml:space="preserve"> dann </w:t>
      </w:r>
      <w:proofErr w:type="spellStart"/>
      <w:r w:rsidR="00F41C08">
        <w:rPr>
          <w:rFonts w:ascii="Times New Roman" w:hAnsi="Times New Roman"/>
          <w:szCs w:val="24"/>
        </w:rPr>
        <w:t>muß</w:t>
      </w:r>
      <w:proofErr w:type="spellEnd"/>
      <w:r w:rsidR="00F41C08">
        <w:rPr>
          <w:rFonts w:ascii="Times New Roman" w:hAnsi="Times New Roman"/>
          <w:szCs w:val="24"/>
        </w:rPr>
        <w:t xml:space="preserve"> der Sachverhalt inso</w:t>
      </w:r>
      <w:r w:rsidRPr="00154A79">
        <w:rPr>
          <w:rFonts w:ascii="Times New Roman" w:hAnsi="Times New Roman"/>
          <w:szCs w:val="24"/>
        </w:rPr>
        <w:t>weit unter die rechtlich</w:t>
      </w:r>
      <w:r w:rsidRPr="00154A79">
        <w:rPr>
          <w:rFonts w:ascii="Times New Roman" w:hAnsi="Times New Roman"/>
          <w:szCs w:val="24"/>
        </w:rPr>
        <w:t>en Voraussetzungen subsumiert werden. Dabei genügt es nicht, eine unspezifizierte „geistige Subnormalität” festzustellen</w:t>
      </w:r>
      <w:r w:rsidRPr="00154A79">
        <w:rPr>
          <w:rStyle w:val="Funotenzeichen"/>
          <w:rFonts w:ascii="Times New Roman" w:hAnsi="Times New Roman"/>
          <w:szCs w:val="24"/>
        </w:rPr>
        <w:footnoteReference w:id="38"/>
      </w:r>
      <w:r w:rsidRPr="00154A79">
        <w:rPr>
          <w:rFonts w:ascii="Times New Roman" w:hAnsi="Times New Roman"/>
          <w:szCs w:val="24"/>
        </w:rPr>
        <w:t>, sondern es muß in gleicher Weise wie es etwa für Tatbestandsalternativen ganz selbstverständlich ist, deutlich werden, welches der Me</w:t>
      </w:r>
      <w:r w:rsidRPr="00154A79">
        <w:rPr>
          <w:rFonts w:ascii="Times New Roman" w:hAnsi="Times New Roman"/>
          <w:szCs w:val="24"/>
        </w:rPr>
        <w:t>rkmale überprüft und ggf. im Ergebnis angenom</w:t>
      </w:r>
      <w:r w:rsidRPr="00154A79">
        <w:rPr>
          <w:rFonts w:ascii="Times New Roman" w:hAnsi="Times New Roman"/>
          <w:szCs w:val="24"/>
        </w:rPr>
        <w:softHyphen/>
        <w:t>men wird.</w:t>
      </w:r>
    </w:p>
    <w:p w:rsidR="00000000" w:rsidRPr="00154A79" w:rsidRDefault="00046A2F" w:rsidP="00F41C08">
      <w:pPr>
        <w:spacing w:before="120" w:line="360" w:lineRule="auto"/>
        <w:jc w:val="both"/>
        <w:rPr>
          <w:rFonts w:ascii="Times New Roman" w:hAnsi="Times New Roman"/>
          <w:szCs w:val="24"/>
        </w:rPr>
      </w:pPr>
      <w:r w:rsidRPr="00154A79">
        <w:rPr>
          <w:rFonts w:ascii="Times New Roman" w:hAnsi="Times New Roman"/>
          <w:b/>
          <w:szCs w:val="24"/>
        </w:rPr>
        <w:t xml:space="preserve">a) </w:t>
      </w:r>
      <w:r w:rsidRPr="00154A79">
        <w:rPr>
          <w:rFonts w:ascii="Times New Roman" w:hAnsi="Times New Roman"/>
          <w:szCs w:val="24"/>
        </w:rPr>
        <w:t xml:space="preserve">Als </w:t>
      </w:r>
      <w:r w:rsidRPr="00154A79">
        <w:rPr>
          <w:rFonts w:ascii="Times New Roman" w:hAnsi="Times New Roman"/>
          <w:b/>
          <w:szCs w:val="24"/>
        </w:rPr>
        <w:t xml:space="preserve">krankhafte seelische Störungen </w:t>
      </w:r>
      <w:r w:rsidRPr="00154A79">
        <w:rPr>
          <w:rFonts w:ascii="Times New Roman" w:hAnsi="Times New Roman"/>
          <w:szCs w:val="24"/>
        </w:rPr>
        <w:t xml:space="preserve">bezeichnet man der psychiatrischen Lehre folgend alle Befunde, bei denen eine organische Ursache bereits erwiesen ist oder zumindest postuliert </w:t>
      </w:r>
      <w:r w:rsidRPr="00154A79">
        <w:rPr>
          <w:rFonts w:ascii="Times New Roman" w:hAnsi="Times New Roman"/>
          <w:szCs w:val="24"/>
        </w:rPr>
        <w:lastRenderedPageBreak/>
        <w:t>wird</w:t>
      </w:r>
      <w:r w:rsidRPr="00154A79">
        <w:rPr>
          <w:rStyle w:val="Funotenzeichen"/>
          <w:rFonts w:ascii="Times New Roman" w:hAnsi="Times New Roman"/>
          <w:szCs w:val="24"/>
        </w:rPr>
        <w:footnoteReference w:id="39"/>
      </w:r>
      <w:r w:rsidRPr="00154A79">
        <w:rPr>
          <w:rFonts w:ascii="Times New Roman" w:hAnsi="Times New Roman"/>
          <w:szCs w:val="24"/>
        </w:rPr>
        <w:t>. Hierzu zäh</w:t>
      </w:r>
      <w:r w:rsidRPr="00154A79">
        <w:rPr>
          <w:rFonts w:ascii="Times New Roman" w:hAnsi="Times New Roman"/>
          <w:szCs w:val="24"/>
        </w:rPr>
        <w:t>len zum einen exogene Psychosen, das sind Erkrankungen mit einer hirnorganischen Ursache wie z.B. Störungen nach Hirnver</w:t>
      </w:r>
      <w:r w:rsidRPr="00154A79">
        <w:rPr>
          <w:rFonts w:ascii="Times New Roman" w:hAnsi="Times New Roman"/>
          <w:szCs w:val="24"/>
        </w:rPr>
        <w:t>let</w:t>
      </w:r>
      <w:r w:rsidRPr="00154A79">
        <w:rPr>
          <w:rFonts w:ascii="Times New Roman" w:hAnsi="Times New Roman"/>
          <w:szCs w:val="24"/>
        </w:rPr>
        <w:t>zungen, -infektionen oder -erkrankungen, zu denen etwa auch Tumoren oder Al</w:t>
      </w:r>
      <w:r w:rsidRPr="00154A79">
        <w:rPr>
          <w:rFonts w:ascii="Times New Roman" w:hAnsi="Times New Roman"/>
          <w:szCs w:val="24"/>
        </w:rPr>
        <w:t>ters</w:t>
      </w:r>
      <w:r w:rsidRPr="00154A79">
        <w:rPr>
          <w:rFonts w:ascii="Times New Roman" w:hAnsi="Times New Roman"/>
          <w:szCs w:val="24"/>
        </w:rPr>
        <w:t>demenz gehören, Stoffwechselerkrankungen, aber auc</w:t>
      </w:r>
      <w:r w:rsidRPr="00154A79">
        <w:rPr>
          <w:rFonts w:ascii="Times New Roman" w:hAnsi="Times New Roman"/>
          <w:szCs w:val="24"/>
        </w:rPr>
        <w:t>h Intoxikationen durch Alkohol, Drogen oder Medikamente, die zu einem Rausch führen sowie die infolge dauerhaf</w:t>
      </w:r>
      <w:r w:rsidRPr="00154A79">
        <w:rPr>
          <w:rFonts w:ascii="Times New Roman" w:hAnsi="Times New Roman"/>
          <w:szCs w:val="24"/>
        </w:rPr>
        <w:t xml:space="preserve">ter </w:t>
      </w:r>
      <w:proofErr w:type="spellStart"/>
      <w:r w:rsidRPr="00154A79">
        <w:rPr>
          <w:rFonts w:ascii="Times New Roman" w:hAnsi="Times New Roman"/>
          <w:szCs w:val="24"/>
        </w:rPr>
        <w:t>Stoffabhängikeiten</w:t>
      </w:r>
      <w:proofErr w:type="spellEnd"/>
      <w:r w:rsidRPr="00154A79">
        <w:rPr>
          <w:rFonts w:ascii="Times New Roman" w:hAnsi="Times New Roman"/>
          <w:szCs w:val="24"/>
        </w:rPr>
        <w:t xml:space="preserve"> entstehende Alkohol- oder Drogenpsychosen wie z.B. das Alkoholdelir. Des </w:t>
      </w:r>
      <w:proofErr w:type="gramStart"/>
      <w:r w:rsidRPr="00154A79">
        <w:rPr>
          <w:rFonts w:ascii="Times New Roman" w:hAnsi="Times New Roman"/>
          <w:szCs w:val="24"/>
        </w:rPr>
        <w:t>weiteren</w:t>
      </w:r>
      <w:proofErr w:type="gramEnd"/>
      <w:r w:rsidRPr="00154A79">
        <w:rPr>
          <w:rFonts w:ascii="Times New Roman" w:hAnsi="Times New Roman"/>
          <w:szCs w:val="24"/>
        </w:rPr>
        <w:t xml:space="preserve"> gehören auch die sog. endogenen Psychose</w:t>
      </w:r>
      <w:r w:rsidRPr="00154A79">
        <w:rPr>
          <w:rFonts w:ascii="Times New Roman" w:hAnsi="Times New Roman"/>
          <w:szCs w:val="24"/>
        </w:rPr>
        <w:t>n hierher, bei denen eine körperliche Ursache nicht zuletzt wegen der starken Ausprä</w:t>
      </w:r>
      <w:r w:rsidRPr="00154A79">
        <w:rPr>
          <w:rFonts w:ascii="Times New Roman" w:hAnsi="Times New Roman"/>
          <w:szCs w:val="24"/>
        </w:rPr>
        <w:t>gung der Stö</w:t>
      </w:r>
      <w:r w:rsidRPr="00154A79">
        <w:rPr>
          <w:rFonts w:ascii="Times New Roman" w:hAnsi="Times New Roman"/>
          <w:szCs w:val="24"/>
        </w:rPr>
        <w:t>rung zwar angenommen wird, aber noch nicht nachgewiesen werden konnte. Es han</w:t>
      </w:r>
      <w:r w:rsidRPr="00154A79">
        <w:rPr>
          <w:rFonts w:ascii="Times New Roman" w:hAnsi="Times New Roman"/>
          <w:szCs w:val="24"/>
        </w:rPr>
        <w:t>delt sich dabei um Erkrankungen aus dem Formenkreis der Schizo</w:t>
      </w:r>
      <w:r w:rsidRPr="00154A79">
        <w:rPr>
          <w:rFonts w:ascii="Times New Roman" w:hAnsi="Times New Roman"/>
          <w:szCs w:val="24"/>
        </w:rPr>
        <w:t xml:space="preserve">phrenien und der </w:t>
      </w:r>
      <w:proofErr w:type="spellStart"/>
      <w:r w:rsidRPr="00154A79">
        <w:rPr>
          <w:rFonts w:ascii="Times New Roman" w:hAnsi="Times New Roman"/>
          <w:szCs w:val="24"/>
        </w:rPr>
        <w:t>Zyklothy</w:t>
      </w:r>
      <w:r w:rsidR="00F41C08">
        <w:rPr>
          <w:rFonts w:ascii="Times New Roman" w:hAnsi="Times New Roman"/>
          <w:szCs w:val="24"/>
        </w:rPr>
        <w:t>mien</w:t>
      </w:r>
      <w:proofErr w:type="spellEnd"/>
      <w:r w:rsidR="00F41C08">
        <w:rPr>
          <w:rFonts w:ascii="Times New Roman" w:hAnsi="Times New Roman"/>
          <w:szCs w:val="24"/>
        </w:rPr>
        <w:t>, bei denen es zu einer Ver</w:t>
      </w:r>
      <w:r w:rsidRPr="00154A79">
        <w:rPr>
          <w:rFonts w:ascii="Times New Roman" w:hAnsi="Times New Roman"/>
          <w:szCs w:val="24"/>
        </w:rPr>
        <w:t>schiebung der Wahrneh</w:t>
      </w:r>
      <w:r w:rsidRPr="00154A79">
        <w:rPr>
          <w:rFonts w:ascii="Times New Roman" w:hAnsi="Times New Roman"/>
          <w:szCs w:val="24"/>
        </w:rPr>
        <w:softHyphen/>
        <w:t>mungsebene durch Wahnv</w:t>
      </w:r>
      <w:r w:rsidR="00F41C08">
        <w:rPr>
          <w:rFonts w:ascii="Times New Roman" w:hAnsi="Times New Roman"/>
          <w:szCs w:val="24"/>
        </w:rPr>
        <w:t>orstellungen oder Gemütsverände</w:t>
      </w:r>
      <w:r w:rsidRPr="00154A79">
        <w:rPr>
          <w:rFonts w:ascii="Times New Roman" w:hAnsi="Times New Roman"/>
          <w:szCs w:val="24"/>
        </w:rPr>
        <w:t>rungen kommt</w:t>
      </w:r>
      <w:r w:rsidRPr="00154A79">
        <w:rPr>
          <w:rStyle w:val="Funotenzeichen"/>
          <w:rFonts w:ascii="Times New Roman" w:hAnsi="Times New Roman"/>
          <w:szCs w:val="24"/>
        </w:rPr>
        <w:footnoteReference w:id="40"/>
      </w:r>
      <w:r w:rsidRPr="00154A79">
        <w:rPr>
          <w:rFonts w:ascii="Times New Roman" w:hAnsi="Times New Roman"/>
          <w:szCs w:val="24"/>
        </w:rPr>
        <w:t>.</w:t>
      </w:r>
    </w:p>
    <w:p w:rsidR="00000000" w:rsidRPr="00154A79" w:rsidRDefault="00046A2F" w:rsidP="00F41C08">
      <w:pPr>
        <w:spacing w:before="120" w:line="360" w:lineRule="auto"/>
        <w:jc w:val="both"/>
        <w:rPr>
          <w:rFonts w:ascii="Times New Roman" w:hAnsi="Times New Roman"/>
          <w:b/>
          <w:szCs w:val="24"/>
        </w:rPr>
      </w:pPr>
      <w:r w:rsidRPr="00154A79">
        <w:rPr>
          <w:rFonts w:ascii="Times New Roman" w:hAnsi="Times New Roman"/>
          <w:b/>
          <w:szCs w:val="24"/>
        </w:rPr>
        <w:t xml:space="preserve">b) </w:t>
      </w:r>
      <w:r w:rsidRPr="00154A79">
        <w:rPr>
          <w:rFonts w:ascii="Times New Roman" w:hAnsi="Times New Roman"/>
          <w:szCs w:val="24"/>
        </w:rPr>
        <w:t xml:space="preserve">Die </w:t>
      </w:r>
      <w:r w:rsidRPr="00154A79">
        <w:rPr>
          <w:rFonts w:ascii="Times New Roman" w:hAnsi="Times New Roman"/>
          <w:b/>
          <w:szCs w:val="24"/>
        </w:rPr>
        <w:t xml:space="preserve">tiefgreifenden </w:t>
      </w:r>
      <w:proofErr w:type="spellStart"/>
      <w:r w:rsidRPr="00154A79">
        <w:rPr>
          <w:rFonts w:ascii="Times New Roman" w:hAnsi="Times New Roman"/>
          <w:b/>
          <w:szCs w:val="24"/>
        </w:rPr>
        <w:t>Bewußtseinsstörungen</w:t>
      </w:r>
      <w:proofErr w:type="spellEnd"/>
      <w:r w:rsidRPr="00154A79">
        <w:rPr>
          <w:rFonts w:ascii="Times New Roman" w:hAnsi="Times New Roman"/>
          <w:szCs w:val="24"/>
        </w:rPr>
        <w:t xml:space="preserve"> unterscheiden sich von den krank</w:t>
      </w:r>
      <w:r w:rsidRPr="00154A79">
        <w:rPr>
          <w:rFonts w:ascii="Times New Roman" w:hAnsi="Times New Roman"/>
          <w:szCs w:val="24"/>
        </w:rPr>
        <w:t>haften Störungen dadurch, dass sie auch beim Ges</w:t>
      </w:r>
      <w:r w:rsidRPr="00154A79">
        <w:rPr>
          <w:rFonts w:ascii="Times New Roman" w:hAnsi="Times New Roman"/>
          <w:szCs w:val="24"/>
        </w:rPr>
        <w:t>unden auftreten können. Gemeint sind solche Veränderungen, bei denen das Selbstbewußtsein, d.h. das Wissen um die eigene, historisch gewordene Identität und das Umweltbewußtsein, d.h. die Be</w:t>
      </w:r>
      <w:r w:rsidRPr="00154A79">
        <w:rPr>
          <w:rFonts w:ascii="Times New Roman" w:hAnsi="Times New Roman"/>
          <w:szCs w:val="24"/>
        </w:rPr>
        <w:softHyphen/>
        <w:t xml:space="preserve">zogenheit auf die jeweilige Umgebung </w:t>
      </w:r>
      <w:proofErr w:type="spellStart"/>
      <w:r w:rsidRPr="00154A79">
        <w:rPr>
          <w:rFonts w:ascii="Times New Roman" w:hAnsi="Times New Roman"/>
          <w:szCs w:val="24"/>
        </w:rPr>
        <w:t>quantiativ</w:t>
      </w:r>
      <w:proofErr w:type="spellEnd"/>
      <w:r w:rsidRPr="00154A79">
        <w:rPr>
          <w:rFonts w:ascii="Times New Roman" w:hAnsi="Times New Roman"/>
          <w:szCs w:val="24"/>
        </w:rPr>
        <w:t xml:space="preserve"> herabgesetzt ist</w:t>
      </w:r>
      <w:r w:rsidRPr="00154A79">
        <w:rPr>
          <w:rFonts w:ascii="Times New Roman" w:hAnsi="Times New Roman"/>
          <w:szCs w:val="24"/>
        </w:rPr>
        <w:t xml:space="preserve"> oder eine andere Qualität erlangt. Derartige Einschränkungen der Wahrnehmungs- und Erlebnisfähig</w:t>
      </w:r>
      <w:r w:rsidRPr="00154A79">
        <w:rPr>
          <w:rFonts w:ascii="Times New Roman" w:hAnsi="Times New Roman"/>
          <w:szCs w:val="24"/>
        </w:rPr>
        <w:t>keit können sich auf die Bewußtseinsklarheit (Lu</w:t>
      </w:r>
      <w:r w:rsidR="00F41C08">
        <w:rPr>
          <w:rFonts w:ascii="Times New Roman" w:hAnsi="Times New Roman"/>
          <w:szCs w:val="24"/>
        </w:rPr>
        <w:t>zidität) beziehen und damit bei</w:t>
      </w:r>
      <w:r w:rsidRPr="00154A79">
        <w:rPr>
          <w:rFonts w:ascii="Times New Roman" w:hAnsi="Times New Roman"/>
          <w:szCs w:val="24"/>
        </w:rPr>
        <w:t>spielsweise eine veränderte Wahrnehmung der Helligkeit oder der räumlichen Aus</w:t>
      </w:r>
      <w:r w:rsidRPr="00154A79">
        <w:rPr>
          <w:rFonts w:ascii="Times New Roman" w:hAnsi="Times New Roman"/>
          <w:szCs w:val="24"/>
        </w:rPr>
        <w:t xml:space="preserve">dehnungen bewirken oder aber sie betreffen die Wachheit (Vigilanz) und führen zu solchen Phänomenen wie der Schlaftrunkenheit oder Benommenheit. </w:t>
      </w:r>
      <w:r w:rsidRPr="00154A79">
        <w:rPr>
          <w:rFonts w:ascii="Times New Roman" w:hAnsi="Times New Roman"/>
          <w:szCs w:val="24"/>
        </w:rPr>
        <w:t xml:space="preserve">Meistens treten </w:t>
      </w:r>
      <w:proofErr w:type="spellStart"/>
      <w:r w:rsidRPr="00154A79">
        <w:rPr>
          <w:rFonts w:ascii="Times New Roman" w:hAnsi="Times New Roman"/>
          <w:szCs w:val="24"/>
        </w:rPr>
        <w:t>Bewußtseinsstörungen</w:t>
      </w:r>
      <w:proofErr w:type="spellEnd"/>
      <w:r w:rsidRPr="00154A79">
        <w:rPr>
          <w:rFonts w:ascii="Times New Roman" w:hAnsi="Times New Roman"/>
          <w:szCs w:val="24"/>
        </w:rPr>
        <w:t xml:space="preserve"> als Folge massiver affektiver Belastungen wie Angst oder Zorn auf</w:t>
      </w:r>
      <w:r w:rsidRPr="00154A79">
        <w:rPr>
          <w:rStyle w:val="Funotenzeichen"/>
          <w:rFonts w:ascii="Times New Roman" w:hAnsi="Times New Roman"/>
          <w:szCs w:val="24"/>
        </w:rPr>
        <w:footnoteReference w:id="41"/>
      </w:r>
      <w:r w:rsidRPr="00154A79">
        <w:rPr>
          <w:rFonts w:ascii="Times New Roman" w:hAnsi="Times New Roman"/>
          <w:szCs w:val="24"/>
        </w:rPr>
        <w:t>.</w:t>
      </w:r>
    </w:p>
    <w:p w:rsidR="00000000" w:rsidRPr="00154A79" w:rsidRDefault="00046A2F" w:rsidP="00F41C08">
      <w:pPr>
        <w:spacing w:before="120" w:line="360" w:lineRule="auto"/>
        <w:jc w:val="both"/>
        <w:rPr>
          <w:rFonts w:ascii="Times New Roman" w:hAnsi="Times New Roman"/>
          <w:szCs w:val="24"/>
        </w:rPr>
      </w:pPr>
      <w:r w:rsidRPr="00154A79">
        <w:rPr>
          <w:rFonts w:ascii="Times New Roman" w:hAnsi="Times New Roman"/>
          <w:szCs w:val="24"/>
        </w:rPr>
        <w:t>Dera</w:t>
      </w:r>
      <w:r w:rsidRPr="00154A79">
        <w:rPr>
          <w:rFonts w:ascii="Times New Roman" w:hAnsi="Times New Roman"/>
          <w:szCs w:val="24"/>
        </w:rPr>
        <w:t>rtige normalpsychologische und teilweise auch alltägliche Erscheinungen</w:t>
      </w:r>
      <w:r w:rsidRPr="00154A79">
        <w:rPr>
          <w:rStyle w:val="Funotenzeichen"/>
          <w:rFonts w:ascii="Times New Roman" w:hAnsi="Times New Roman"/>
          <w:szCs w:val="24"/>
        </w:rPr>
        <w:footnoteReference w:id="42"/>
      </w:r>
      <w:r w:rsidRPr="00154A79">
        <w:rPr>
          <w:rFonts w:ascii="Times New Roman" w:hAnsi="Times New Roman"/>
          <w:szCs w:val="24"/>
        </w:rPr>
        <w:t xml:space="preserve"> be</w:t>
      </w:r>
      <w:r w:rsidRPr="00154A79">
        <w:rPr>
          <w:rFonts w:ascii="Times New Roman" w:hAnsi="Times New Roman"/>
          <w:szCs w:val="24"/>
        </w:rPr>
        <w:softHyphen/>
        <w:t>einträchtigen für sich genommen jedoch noch nicht die Schuldfähigkeit, sondern sie müssen darüber hinaus auch tiefgreifend sein. Dies setzt voraus, dass die Störung sich gerade nic</w:t>
      </w:r>
      <w:r w:rsidRPr="00154A79">
        <w:rPr>
          <w:rFonts w:ascii="Times New Roman" w:hAnsi="Times New Roman"/>
          <w:szCs w:val="24"/>
        </w:rPr>
        <w:t>ht mehr im Bereich des noch Normalen bewegt, sondern dass sie ein solches Ausmaß hat, dass sie das seelische Gefüge des Täters zerstört oder erheb</w:t>
      </w:r>
      <w:r w:rsidRPr="00154A79">
        <w:rPr>
          <w:rFonts w:ascii="Times New Roman" w:hAnsi="Times New Roman"/>
          <w:szCs w:val="24"/>
        </w:rPr>
        <w:t>lich erschüttert</w:t>
      </w:r>
      <w:r w:rsidRPr="00154A79">
        <w:rPr>
          <w:rStyle w:val="Funotenzeichen"/>
          <w:rFonts w:ascii="Times New Roman" w:hAnsi="Times New Roman"/>
          <w:szCs w:val="24"/>
        </w:rPr>
        <w:footnoteReference w:id="43"/>
      </w:r>
      <w:r w:rsidRPr="00154A79">
        <w:rPr>
          <w:rFonts w:ascii="Times New Roman" w:hAnsi="Times New Roman"/>
          <w:szCs w:val="24"/>
        </w:rPr>
        <w:t>. Da eine solche Folge bei den soeben beschriebenen psychischen Krankheiten stets für möglic</w:t>
      </w:r>
      <w:r w:rsidRPr="00154A79">
        <w:rPr>
          <w:rFonts w:ascii="Times New Roman" w:hAnsi="Times New Roman"/>
          <w:szCs w:val="24"/>
        </w:rPr>
        <w:t xml:space="preserve">h erachtet wird, spricht die </w:t>
      </w:r>
      <w:r w:rsidR="00F41C08">
        <w:rPr>
          <w:rFonts w:ascii="Times New Roman" w:hAnsi="Times New Roman"/>
          <w:szCs w:val="24"/>
        </w:rPr>
        <w:lastRenderedPageBreak/>
        <w:t>Rechtsprechung in Anleh</w:t>
      </w:r>
      <w:r w:rsidRPr="00154A79">
        <w:rPr>
          <w:rFonts w:ascii="Times New Roman" w:hAnsi="Times New Roman"/>
          <w:szCs w:val="24"/>
        </w:rPr>
        <w:t>nung hieran auch stark verkürzt von einer Bewußtseinsstörung mit „Krankheitswert“</w:t>
      </w:r>
      <w:r w:rsidRPr="00154A79">
        <w:rPr>
          <w:rStyle w:val="Funotenzeichen"/>
          <w:rFonts w:ascii="Times New Roman" w:hAnsi="Times New Roman"/>
          <w:szCs w:val="24"/>
        </w:rPr>
        <w:footnoteReference w:id="44"/>
      </w:r>
      <w:r w:rsidRPr="00154A79">
        <w:rPr>
          <w:rFonts w:ascii="Times New Roman" w:hAnsi="Times New Roman"/>
          <w:szCs w:val="24"/>
        </w:rPr>
        <w:t>. Die damit verbundene Ungenauigkeit</w:t>
      </w:r>
      <w:r w:rsidRPr="00154A79">
        <w:rPr>
          <w:rFonts w:ascii="Times New Roman" w:hAnsi="Times New Roman"/>
          <w:szCs w:val="24"/>
        </w:rPr>
        <w:t xml:space="preserve"> führt jedoch immer wieder zu berechtigter Kritik</w:t>
      </w:r>
      <w:r w:rsidRPr="00154A79">
        <w:rPr>
          <w:rStyle w:val="Funotenzeichen"/>
          <w:rFonts w:ascii="Times New Roman" w:hAnsi="Times New Roman"/>
          <w:szCs w:val="24"/>
        </w:rPr>
        <w:footnoteReference w:id="45"/>
      </w:r>
      <w:r w:rsidRPr="00154A79">
        <w:rPr>
          <w:rFonts w:ascii="Times New Roman" w:hAnsi="Times New Roman"/>
          <w:szCs w:val="24"/>
        </w:rPr>
        <w:t>, denn der Begriff der Krankheit a</w:t>
      </w:r>
      <w:r w:rsidRPr="00154A79">
        <w:rPr>
          <w:rFonts w:ascii="Times New Roman" w:hAnsi="Times New Roman"/>
          <w:szCs w:val="24"/>
        </w:rPr>
        <w:t xml:space="preserve">ls solcher </w:t>
      </w:r>
      <w:proofErr w:type="spellStart"/>
      <w:r w:rsidRPr="00154A79">
        <w:rPr>
          <w:rFonts w:ascii="Times New Roman" w:hAnsi="Times New Roman"/>
          <w:szCs w:val="24"/>
        </w:rPr>
        <w:t>umfaßt</w:t>
      </w:r>
      <w:proofErr w:type="spellEnd"/>
      <w:r w:rsidRPr="00154A79">
        <w:rPr>
          <w:rFonts w:ascii="Times New Roman" w:hAnsi="Times New Roman"/>
          <w:szCs w:val="24"/>
        </w:rPr>
        <w:t xml:space="preserve"> jede soma</w:t>
      </w:r>
      <w:r w:rsidRPr="00154A79">
        <w:rPr>
          <w:rFonts w:ascii="Times New Roman" w:hAnsi="Times New Roman"/>
          <w:szCs w:val="24"/>
        </w:rPr>
        <w:t>tische Störung, auch ei</w:t>
      </w:r>
      <w:r w:rsidRPr="00154A79">
        <w:rPr>
          <w:rFonts w:ascii="Times New Roman" w:hAnsi="Times New Roman"/>
          <w:szCs w:val="24"/>
        </w:rPr>
        <w:t>nen noch so harmlosen Schnupfen, und vermag über die Ausprägung der Krankheit selbst gerade keine Auskunft zu geben.</w:t>
      </w:r>
    </w:p>
    <w:p w:rsidR="00F41C08" w:rsidRDefault="00046A2F" w:rsidP="00F41C08">
      <w:pPr>
        <w:spacing w:before="120" w:line="360" w:lineRule="auto"/>
        <w:jc w:val="both"/>
        <w:rPr>
          <w:rFonts w:ascii="Times New Roman" w:hAnsi="Times New Roman"/>
          <w:szCs w:val="24"/>
        </w:rPr>
      </w:pPr>
      <w:r w:rsidRPr="00154A79">
        <w:rPr>
          <w:rFonts w:ascii="Times New Roman" w:hAnsi="Times New Roman"/>
          <w:b/>
          <w:szCs w:val="24"/>
        </w:rPr>
        <w:t xml:space="preserve">c) </w:t>
      </w:r>
      <w:r w:rsidRPr="00154A79">
        <w:rPr>
          <w:rFonts w:ascii="Times New Roman" w:hAnsi="Times New Roman"/>
          <w:szCs w:val="24"/>
        </w:rPr>
        <w:t xml:space="preserve">Mit </w:t>
      </w:r>
      <w:r w:rsidRPr="00154A79">
        <w:rPr>
          <w:rFonts w:ascii="Times New Roman" w:hAnsi="Times New Roman"/>
          <w:b/>
          <w:szCs w:val="24"/>
        </w:rPr>
        <w:t xml:space="preserve">Schwachsinn </w:t>
      </w:r>
      <w:r w:rsidRPr="00154A79">
        <w:rPr>
          <w:rFonts w:ascii="Times New Roman" w:hAnsi="Times New Roman"/>
          <w:szCs w:val="24"/>
        </w:rPr>
        <w:t>oder auch Oligophrenie werden die psychischen Unterentwick</w:t>
      </w:r>
      <w:r w:rsidRPr="00154A79">
        <w:rPr>
          <w:rFonts w:ascii="Times New Roman" w:hAnsi="Times New Roman"/>
          <w:szCs w:val="24"/>
        </w:rPr>
        <w:t>lungen b</w:t>
      </w:r>
      <w:r w:rsidRPr="00154A79">
        <w:rPr>
          <w:rFonts w:ascii="Times New Roman" w:hAnsi="Times New Roman"/>
          <w:szCs w:val="24"/>
        </w:rPr>
        <w:t>ezeichnet, die hauptsächlich die Intelligenz betreffen und entweder angebo</w:t>
      </w:r>
      <w:r w:rsidRPr="00154A79">
        <w:rPr>
          <w:rFonts w:ascii="Times New Roman" w:hAnsi="Times New Roman"/>
          <w:szCs w:val="24"/>
        </w:rPr>
        <w:t xml:space="preserve">ren </w:t>
      </w:r>
    </w:p>
    <w:p w:rsidR="00F41C08" w:rsidRPr="007E5A67" w:rsidRDefault="00F41C08" w:rsidP="00F41C08">
      <w:pPr>
        <w:spacing w:before="240" w:line="360" w:lineRule="auto"/>
        <w:jc w:val="center"/>
        <w:rPr>
          <w:rFonts w:ascii="Times New Roman" w:hAnsi="Times New Roman"/>
          <w:i/>
          <w:szCs w:val="24"/>
        </w:rPr>
      </w:pPr>
      <w:r w:rsidRPr="007E5A67">
        <w:rPr>
          <w:rFonts w:ascii="Times New Roman" w:hAnsi="Times New Roman"/>
          <w:i/>
          <w:highlight w:val="lightGray"/>
        </w:rPr>
        <w:t xml:space="preserve">Jura 2001, </w:t>
      </w:r>
      <w:r w:rsidRPr="00F41C08">
        <w:rPr>
          <w:rFonts w:ascii="Times New Roman" w:hAnsi="Times New Roman"/>
          <w:i/>
          <w:highlight w:val="lightGray"/>
        </w:rPr>
        <w:t>3</w:t>
      </w:r>
      <w:r w:rsidRPr="00F41C08">
        <w:rPr>
          <w:rFonts w:ascii="Times New Roman" w:hAnsi="Times New Roman"/>
          <w:i/>
          <w:highlight w:val="lightGray"/>
        </w:rPr>
        <w:t>80</w:t>
      </w:r>
    </w:p>
    <w:p w:rsidR="00000000" w:rsidRPr="00154A79" w:rsidRDefault="00046A2F" w:rsidP="00F41C08">
      <w:pPr>
        <w:spacing w:before="120" w:line="360" w:lineRule="auto"/>
        <w:jc w:val="both"/>
        <w:rPr>
          <w:rFonts w:ascii="Times New Roman" w:hAnsi="Times New Roman"/>
          <w:szCs w:val="24"/>
        </w:rPr>
      </w:pPr>
      <w:r w:rsidRPr="00154A79">
        <w:rPr>
          <w:rFonts w:ascii="Times New Roman" w:hAnsi="Times New Roman"/>
          <w:szCs w:val="24"/>
        </w:rPr>
        <w:t>oder frühzeitig (d.h. vor oder während der Geburt bzw. in früher Kindheit) erwor</w:t>
      </w:r>
      <w:r w:rsidRPr="00154A79">
        <w:rPr>
          <w:rFonts w:ascii="Times New Roman" w:hAnsi="Times New Roman"/>
          <w:szCs w:val="24"/>
        </w:rPr>
        <w:t>ben worden sind, ohne dass es jedoch hierfür wie bei den Krankheiten eine körperli</w:t>
      </w:r>
      <w:r w:rsidRPr="00154A79">
        <w:rPr>
          <w:rFonts w:ascii="Times New Roman" w:hAnsi="Times New Roman"/>
          <w:szCs w:val="24"/>
        </w:rPr>
        <w:t>che Ursache g</w:t>
      </w:r>
      <w:r w:rsidRPr="00154A79">
        <w:rPr>
          <w:rFonts w:ascii="Times New Roman" w:hAnsi="Times New Roman"/>
          <w:szCs w:val="24"/>
        </w:rPr>
        <w:t>ibt</w:t>
      </w:r>
      <w:r w:rsidRPr="00154A79">
        <w:rPr>
          <w:rStyle w:val="Funotenzeichen"/>
          <w:rFonts w:ascii="Times New Roman" w:hAnsi="Times New Roman"/>
          <w:szCs w:val="24"/>
        </w:rPr>
        <w:footnoteReference w:id="46"/>
      </w:r>
      <w:r w:rsidRPr="00154A79">
        <w:rPr>
          <w:rFonts w:ascii="Times New Roman" w:hAnsi="Times New Roman"/>
          <w:szCs w:val="24"/>
        </w:rPr>
        <w:t>. - Dadurch unterscheidet sich der Schwachsinn, der, wie schon die Gesetzesformulierung zeigt, ein spezieller Fall der „anderen“ seelischen Abartig</w:t>
      </w:r>
      <w:r w:rsidRPr="00154A79">
        <w:rPr>
          <w:rFonts w:ascii="Times New Roman" w:hAnsi="Times New Roman"/>
          <w:szCs w:val="24"/>
        </w:rPr>
        <w:t>keiten ist, von den krankhaften Störungen. Anders als bei der Altersdemenz oder bei Alzheimer, bei denen</w:t>
      </w:r>
      <w:r w:rsidRPr="00154A79">
        <w:rPr>
          <w:rFonts w:ascii="Times New Roman" w:hAnsi="Times New Roman"/>
          <w:szCs w:val="24"/>
        </w:rPr>
        <w:t xml:space="preserve"> ursprünglich vorhandene Fähigkeiten abgebaut werden, und die wegen ihrer somatischen Ursachen ohnehin bereits unter das erste Merkmal fal</w:t>
      </w:r>
      <w:r w:rsidRPr="00154A79">
        <w:rPr>
          <w:rFonts w:ascii="Times New Roman" w:hAnsi="Times New Roman"/>
          <w:szCs w:val="24"/>
        </w:rPr>
        <w:t>len, bleibt die normale geistige Entwicklung beim Schwachsinn von vornherein aus, d.h. es fehlt bereits das Potential</w:t>
      </w:r>
      <w:r w:rsidRPr="00154A79">
        <w:rPr>
          <w:rFonts w:ascii="Times New Roman" w:hAnsi="Times New Roman"/>
          <w:szCs w:val="24"/>
        </w:rPr>
        <w:t xml:space="preserve"> zum Aufbau der Intelligenz. Je nachdem, wie stark die Beeinträchtigung ist, unterscheidet man in drei Schweregrade, die teilweise auch in sog. Intelligenzaltern angegeben werden. Am stärksten ausgeprägt ist der Schwachsinn bei der sog. Idiotie, die häufig</w:t>
      </w:r>
      <w:r w:rsidRPr="00154A79">
        <w:rPr>
          <w:rFonts w:ascii="Times New Roman" w:hAnsi="Times New Roman"/>
          <w:szCs w:val="24"/>
        </w:rPr>
        <w:t xml:space="preserve"> mit einer Sprachunfähigkeit und der Pflegebedürftigkeit des Betroffenen einhergeht, so dass das durchschnittliche Intelli</w:t>
      </w:r>
      <w:r w:rsidRPr="00154A79">
        <w:rPr>
          <w:rFonts w:ascii="Times New Roman" w:hAnsi="Times New Roman"/>
          <w:szCs w:val="24"/>
        </w:rPr>
        <w:t>genzalter hier etwa dem eines 6jährigen Kindes entspricht, bei der mittleren Stufe, der Imbezillität wird ein Intelligenzalter von et</w:t>
      </w:r>
      <w:r w:rsidRPr="00154A79">
        <w:rPr>
          <w:rFonts w:ascii="Times New Roman" w:hAnsi="Times New Roman"/>
          <w:szCs w:val="24"/>
        </w:rPr>
        <w:t>wa 9 Jahren erreicht, bei der Debilität als leichtester Form sind die Betroffenen zumeist (sonder-)schulfähig und erreichen ei</w:t>
      </w:r>
      <w:r w:rsidRPr="00154A79">
        <w:rPr>
          <w:rFonts w:ascii="Times New Roman" w:hAnsi="Times New Roman"/>
          <w:szCs w:val="24"/>
        </w:rPr>
        <w:t>nen der Pubertät entsprechenden Entwicklungsstand</w:t>
      </w:r>
      <w:r w:rsidRPr="00154A79">
        <w:rPr>
          <w:rStyle w:val="Funotenzeichen"/>
          <w:rFonts w:ascii="Times New Roman" w:hAnsi="Times New Roman"/>
          <w:szCs w:val="24"/>
        </w:rPr>
        <w:footnoteReference w:id="47"/>
      </w:r>
      <w:r w:rsidRPr="00154A79">
        <w:rPr>
          <w:rFonts w:ascii="Times New Roman" w:hAnsi="Times New Roman"/>
          <w:szCs w:val="24"/>
        </w:rPr>
        <w:t>. Allerdings bestehen zwi</w:t>
      </w:r>
      <w:r w:rsidRPr="00154A79">
        <w:rPr>
          <w:rFonts w:ascii="Times New Roman" w:hAnsi="Times New Roman"/>
          <w:szCs w:val="24"/>
        </w:rPr>
        <w:t>schen den einzelnen Stufen keine scharfen Trennlinien</w:t>
      </w:r>
      <w:r w:rsidR="00F41C08">
        <w:rPr>
          <w:rFonts w:ascii="Times New Roman" w:hAnsi="Times New Roman"/>
          <w:szCs w:val="24"/>
        </w:rPr>
        <w:t>, sondern fließende Über</w:t>
      </w:r>
      <w:r w:rsidRPr="00154A79">
        <w:rPr>
          <w:rFonts w:ascii="Times New Roman" w:hAnsi="Times New Roman"/>
          <w:szCs w:val="24"/>
        </w:rPr>
        <w:t>gänge</w:t>
      </w:r>
      <w:r w:rsidRPr="00154A79">
        <w:rPr>
          <w:rStyle w:val="Funotenzeichen"/>
          <w:rFonts w:ascii="Times New Roman" w:hAnsi="Times New Roman"/>
          <w:szCs w:val="24"/>
        </w:rPr>
        <w:footnoteReference w:id="48"/>
      </w:r>
      <w:r w:rsidRPr="00154A79">
        <w:rPr>
          <w:rFonts w:ascii="Times New Roman" w:hAnsi="Times New Roman"/>
          <w:szCs w:val="24"/>
        </w:rPr>
        <w:t>.</w:t>
      </w:r>
    </w:p>
    <w:p w:rsidR="00000000" w:rsidRPr="00154A79" w:rsidRDefault="00046A2F" w:rsidP="00F41C08">
      <w:pPr>
        <w:spacing w:before="120" w:line="360" w:lineRule="auto"/>
        <w:jc w:val="both"/>
        <w:rPr>
          <w:rFonts w:ascii="Times New Roman" w:hAnsi="Times New Roman"/>
          <w:szCs w:val="24"/>
        </w:rPr>
      </w:pPr>
      <w:r w:rsidRPr="00154A79">
        <w:rPr>
          <w:rFonts w:ascii="Times New Roman" w:hAnsi="Times New Roman"/>
          <w:b/>
          <w:szCs w:val="24"/>
        </w:rPr>
        <w:t xml:space="preserve">d) </w:t>
      </w:r>
      <w:r w:rsidRPr="00154A79">
        <w:rPr>
          <w:rFonts w:ascii="Times New Roman" w:hAnsi="Times New Roman"/>
          <w:szCs w:val="24"/>
        </w:rPr>
        <w:t xml:space="preserve">Die </w:t>
      </w:r>
      <w:r w:rsidRPr="00154A79">
        <w:rPr>
          <w:rFonts w:ascii="Times New Roman" w:hAnsi="Times New Roman"/>
          <w:b/>
          <w:szCs w:val="24"/>
        </w:rPr>
        <w:t>Schwere andere seelische Abartigkeit</w:t>
      </w:r>
      <w:r w:rsidRPr="00154A79">
        <w:rPr>
          <w:rFonts w:ascii="Times New Roman" w:hAnsi="Times New Roman"/>
          <w:szCs w:val="24"/>
        </w:rPr>
        <w:t xml:space="preserve"> ist erst 1975 als Sammelbegriff für die übrigen psychischen Auffälligkeiten neu in das Gesetz aufgenommen worden, die weder organisch bedingt sind, noch eine Bewußtseinsstörung d</w:t>
      </w:r>
      <w:r w:rsidRPr="00154A79">
        <w:rPr>
          <w:rFonts w:ascii="Times New Roman" w:hAnsi="Times New Roman"/>
          <w:szCs w:val="24"/>
        </w:rPr>
        <w:t>arstellen. Damit sollte eine eigene Kategorie geschaffen werden, um auch Psychopathien, neuroti</w:t>
      </w:r>
      <w:r w:rsidRPr="00154A79">
        <w:rPr>
          <w:rFonts w:ascii="Times New Roman" w:hAnsi="Times New Roman"/>
          <w:szCs w:val="24"/>
        </w:rPr>
        <w:t>sche oder paranoide Entwicklungen, sexuelle Abweichungen oder sonstige Störun</w:t>
      </w:r>
      <w:r w:rsidRPr="00154A79">
        <w:rPr>
          <w:rFonts w:ascii="Times New Roman" w:hAnsi="Times New Roman"/>
          <w:szCs w:val="24"/>
        </w:rPr>
        <w:t>gen der Im</w:t>
      </w:r>
      <w:r w:rsidRPr="00154A79">
        <w:rPr>
          <w:rFonts w:ascii="Times New Roman" w:hAnsi="Times New Roman"/>
          <w:szCs w:val="24"/>
        </w:rPr>
        <w:t>pulskontrolle erfassen zu können. Zuvor hatte die Rechtsprechung derar</w:t>
      </w:r>
      <w:r w:rsidRPr="00154A79">
        <w:rPr>
          <w:rFonts w:ascii="Times New Roman" w:hAnsi="Times New Roman"/>
          <w:szCs w:val="24"/>
        </w:rPr>
        <w:t>tige Erschei</w:t>
      </w:r>
      <w:r w:rsidRPr="00154A79">
        <w:rPr>
          <w:rFonts w:ascii="Times New Roman" w:hAnsi="Times New Roman"/>
          <w:szCs w:val="24"/>
        </w:rPr>
        <w:t xml:space="preserve">nungen unter das erste Merkmal subsumiert, was jedoch nur deshalb gelingen konnte, weil sie hierzu eigens einen sog. „juristischen </w:t>
      </w:r>
      <w:r w:rsidRPr="00154A79">
        <w:rPr>
          <w:rFonts w:ascii="Times New Roman" w:hAnsi="Times New Roman"/>
          <w:szCs w:val="24"/>
        </w:rPr>
        <w:lastRenderedPageBreak/>
        <w:t>Krankheitsbegriff“ geprägt hatte. Danach kam für eine seelische Störung jede Störung der Verstandes</w:t>
      </w:r>
      <w:r w:rsidRPr="00154A79">
        <w:rPr>
          <w:rFonts w:ascii="Times New Roman" w:hAnsi="Times New Roman"/>
          <w:szCs w:val="24"/>
        </w:rPr>
        <w:t>tätigkeit so</w:t>
      </w:r>
      <w:r w:rsidRPr="00154A79">
        <w:rPr>
          <w:rFonts w:ascii="Times New Roman" w:hAnsi="Times New Roman"/>
          <w:szCs w:val="24"/>
        </w:rPr>
        <w:t>wie des Willens-, Gefühls- oder Trieblebens in Betracht, und zwar unab</w:t>
      </w:r>
      <w:r w:rsidRPr="00154A79">
        <w:rPr>
          <w:rFonts w:ascii="Times New Roman" w:hAnsi="Times New Roman"/>
          <w:szCs w:val="24"/>
        </w:rPr>
        <w:softHyphen/>
        <w:t>hängig von einem organischen Befund, sofern jedoch dadurch das Sinnerleben des Betroffenen unterbrochen wurde</w:t>
      </w:r>
      <w:r w:rsidRPr="00154A79">
        <w:rPr>
          <w:rStyle w:val="Funotenzeichen"/>
          <w:rFonts w:ascii="Times New Roman" w:hAnsi="Times New Roman"/>
          <w:szCs w:val="24"/>
        </w:rPr>
        <w:footnoteReference w:id="49"/>
      </w:r>
      <w:r w:rsidRPr="00154A79">
        <w:rPr>
          <w:rFonts w:ascii="Times New Roman" w:hAnsi="Times New Roman"/>
          <w:szCs w:val="24"/>
        </w:rPr>
        <w:t>. Mit dem vor allem durch die Schule Kurt Schnei</w:t>
      </w:r>
      <w:r w:rsidRPr="00154A79">
        <w:rPr>
          <w:rFonts w:ascii="Times New Roman" w:hAnsi="Times New Roman"/>
          <w:szCs w:val="24"/>
        </w:rPr>
        <w:t>ders gepräg</w:t>
      </w:r>
      <w:r w:rsidRPr="00154A79">
        <w:rPr>
          <w:rFonts w:ascii="Times New Roman" w:hAnsi="Times New Roman"/>
          <w:szCs w:val="24"/>
        </w:rPr>
        <w:t>ten, am Somati</w:t>
      </w:r>
      <w:r w:rsidRPr="00154A79">
        <w:rPr>
          <w:rFonts w:ascii="Times New Roman" w:hAnsi="Times New Roman"/>
          <w:szCs w:val="24"/>
        </w:rPr>
        <w:t>schen orientierten psychiatrisch-klinischen Krankheitsbe</w:t>
      </w:r>
      <w:r w:rsidRPr="00154A79">
        <w:rPr>
          <w:rFonts w:ascii="Times New Roman" w:hAnsi="Times New Roman"/>
          <w:szCs w:val="24"/>
        </w:rPr>
        <w:t>griff, war dies jedoch nicht vereinbar; danach handelt es sich bei den genannten Er</w:t>
      </w:r>
      <w:r w:rsidRPr="00154A79">
        <w:rPr>
          <w:rFonts w:ascii="Times New Roman" w:hAnsi="Times New Roman"/>
          <w:szCs w:val="24"/>
        </w:rPr>
        <w:t>lebens- und Ver</w:t>
      </w:r>
      <w:r w:rsidRPr="00154A79">
        <w:rPr>
          <w:rFonts w:ascii="Times New Roman" w:hAnsi="Times New Roman"/>
          <w:szCs w:val="24"/>
        </w:rPr>
        <w:t>haltensweisen lediglich um Spielarten des menschlichen Seins</w:t>
      </w:r>
      <w:r w:rsidRPr="00154A79">
        <w:rPr>
          <w:rStyle w:val="Funotenzeichen"/>
          <w:rFonts w:ascii="Times New Roman" w:hAnsi="Times New Roman"/>
          <w:szCs w:val="24"/>
        </w:rPr>
        <w:footnoteReference w:id="50"/>
      </w:r>
      <w:r w:rsidRPr="00154A79">
        <w:rPr>
          <w:rFonts w:ascii="Times New Roman" w:hAnsi="Times New Roman"/>
          <w:szCs w:val="24"/>
        </w:rPr>
        <w:t>. So sollte die Re</w:t>
      </w:r>
      <w:r w:rsidRPr="00154A79">
        <w:rPr>
          <w:rFonts w:ascii="Times New Roman" w:hAnsi="Times New Roman"/>
          <w:szCs w:val="24"/>
        </w:rPr>
        <w:t>form den Streit zwi</w:t>
      </w:r>
      <w:r w:rsidRPr="00154A79">
        <w:rPr>
          <w:rFonts w:ascii="Times New Roman" w:hAnsi="Times New Roman"/>
          <w:szCs w:val="24"/>
        </w:rPr>
        <w:t>schen den Fachgruppe</w:t>
      </w:r>
      <w:r w:rsidR="00F41C08">
        <w:rPr>
          <w:rFonts w:ascii="Times New Roman" w:hAnsi="Times New Roman"/>
          <w:szCs w:val="24"/>
        </w:rPr>
        <w:t>n schlichten und mehr Klarstel</w:t>
      </w:r>
      <w:r w:rsidRPr="00154A79">
        <w:rPr>
          <w:rFonts w:ascii="Times New Roman" w:hAnsi="Times New Roman"/>
          <w:szCs w:val="24"/>
        </w:rPr>
        <w:t>lung schaffen. Doch es waren die Reformbestrebungen selbst, die einen noch viel gravierenderen Streit auf den Plan riefen: Viele Psychiater gingen davon aus, dass solche Störungen, die nicht krankheitsbed</w:t>
      </w:r>
      <w:r w:rsidRPr="00154A79">
        <w:rPr>
          <w:rFonts w:ascii="Times New Roman" w:hAnsi="Times New Roman"/>
          <w:szCs w:val="24"/>
        </w:rPr>
        <w:t>ingt sind, nicht das für eine Exculpa</w:t>
      </w:r>
      <w:r w:rsidRPr="00154A79">
        <w:rPr>
          <w:rFonts w:ascii="Times New Roman" w:hAnsi="Times New Roman"/>
          <w:szCs w:val="24"/>
        </w:rPr>
        <w:t>tion notwendige Ausmaß erreichen können und befürchteten einen Damm</w:t>
      </w:r>
      <w:r w:rsidRPr="00154A79">
        <w:rPr>
          <w:rFonts w:ascii="Times New Roman" w:hAnsi="Times New Roman"/>
          <w:szCs w:val="24"/>
        </w:rPr>
        <w:softHyphen/>
        <w:t xml:space="preserve">bruch, d.h. eine Flut von </w:t>
      </w:r>
      <w:proofErr w:type="spellStart"/>
      <w:r w:rsidRPr="00154A79">
        <w:rPr>
          <w:rFonts w:ascii="Times New Roman" w:hAnsi="Times New Roman"/>
          <w:szCs w:val="24"/>
        </w:rPr>
        <w:t>Exculpierun</w:t>
      </w:r>
      <w:r w:rsidRPr="00154A79">
        <w:rPr>
          <w:rFonts w:ascii="Times New Roman" w:hAnsi="Times New Roman"/>
          <w:szCs w:val="24"/>
        </w:rPr>
        <w:t>gen</w:t>
      </w:r>
      <w:proofErr w:type="spellEnd"/>
      <w:r w:rsidRPr="00154A79">
        <w:rPr>
          <w:rFonts w:ascii="Times New Roman" w:hAnsi="Times New Roman"/>
          <w:szCs w:val="24"/>
        </w:rPr>
        <w:t xml:space="preserve"> für den Fall, dass die schweren anderen seelischen Ab</w:t>
      </w:r>
      <w:r w:rsidRPr="00154A79">
        <w:rPr>
          <w:rFonts w:ascii="Times New Roman" w:hAnsi="Times New Roman"/>
          <w:szCs w:val="24"/>
        </w:rPr>
        <w:t>artigkeiten wie beabsich</w:t>
      </w:r>
      <w:r w:rsidRPr="00154A79">
        <w:rPr>
          <w:rFonts w:ascii="Times New Roman" w:hAnsi="Times New Roman"/>
          <w:szCs w:val="24"/>
        </w:rPr>
        <w:t xml:space="preserve">tigt - und ja auch geschehen </w:t>
      </w:r>
      <w:r w:rsidRPr="00154A79">
        <w:rPr>
          <w:rFonts w:ascii="Times New Roman" w:hAnsi="Times New Roman"/>
          <w:szCs w:val="24"/>
        </w:rPr>
        <w:t>- nicht nur in § 21, sondern auch in § 20 StGB aufge</w:t>
      </w:r>
      <w:r w:rsidRPr="00154A79">
        <w:rPr>
          <w:rFonts w:ascii="Times New Roman" w:hAnsi="Times New Roman"/>
          <w:szCs w:val="24"/>
        </w:rPr>
        <w:t>nommen würden</w:t>
      </w:r>
      <w:r w:rsidRPr="00154A79">
        <w:rPr>
          <w:rStyle w:val="Funotenzeichen"/>
          <w:rFonts w:ascii="Times New Roman" w:hAnsi="Times New Roman"/>
          <w:szCs w:val="24"/>
        </w:rPr>
        <w:footnoteReference w:id="51"/>
      </w:r>
      <w:r w:rsidRPr="00154A79">
        <w:rPr>
          <w:rFonts w:ascii="Times New Roman" w:hAnsi="Times New Roman"/>
          <w:szCs w:val="24"/>
        </w:rPr>
        <w:t>. Doch ungeachtet dessen, dass der - un</w:t>
      </w:r>
      <w:r w:rsidRPr="00154A79">
        <w:rPr>
          <w:rFonts w:ascii="Times New Roman" w:hAnsi="Times New Roman"/>
          <w:szCs w:val="24"/>
        </w:rPr>
        <w:t>nötig stigmatisierende</w:t>
      </w:r>
      <w:r w:rsidRPr="00154A79">
        <w:rPr>
          <w:rStyle w:val="Funotenzeichen"/>
          <w:rFonts w:ascii="Times New Roman" w:hAnsi="Times New Roman"/>
          <w:szCs w:val="24"/>
        </w:rPr>
        <w:footnoteReference w:id="52"/>
      </w:r>
      <w:r w:rsidRPr="00154A79">
        <w:rPr>
          <w:rFonts w:ascii="Times New Roman" w:hAnsi="Times New Roman"/>
          <w:szCs w:val="24"/>
        </w:rPr>
        <w:t xml:space="preserve"> - Begriff der Abartigkeit entgegen den gesetz</w:t>
      </w:r>
      <w:r w:rsidRPr="00154A79">
        <w:rPr>
          <w:rFonts w:ascii="Times New Roman" w:hAnsi="Times New Roman"/>
          <w:szCs w:val="24"/>
        </w:rPr>
        <w:t>geberischen Absichten nicht klarstellend, sondern denkbar konturlos ist und der</w:t>
      </w:r>
      <w:r w:rsidRPr="00154A79">
        <w:rPr>
          <w:rFonts w:ascii="Times New Roman" w:hAnsi="Times New Roman"/>
          <w:szCs w:val="24"/>
        </w:rPr>
        <w:t xml:space="preserve"> Sa</w:t>
      </w:r>
      <w:r w:rsidRPr="00154A79">
        <w:rPr>
          <w:rFonts w:ascii="Times New Roman" w:hAnsi="Times New Roman"/>
          <w:szCs w:val="24"/>
        </w:rPr>
        <w:t>che nach die Einbeziehung psychischer Ausnahmezustände jeder erdenklichen Art ermöglicht</w:t>
      </w:r>
      <w:r w:rsidRPr="00154A79">
        <w:rPr>
          <w:rStyle w:val="Funotenzeichen"/>
          <w:rFonts w:ascii="Times New Roman" w:hAnsi="Times New Roman"/>
          <w:szCs w:val="24"/>
        </w:rPr>
        <w:footnoteReference w:id="53"/>
      </w:r>
      <w:r w:rsidRPr="00154A79">
        <w:rPr>
          <w:rFonts w:ascii="Times New Roman" w:hAnsi="Times New Roman"/>
          <w:szCs w:val="24"/>
        </w:rPr>
        <w:t>, ist dieser Dammbruch aus</w:t>
      </w:r>
      <w:r w:rsidRPr="00154A79">
        <w:rPr>
          <w:rFonts w:ascii="Times New Roman" w:hAnsi="Times New Roman"/>
          <w:szCs w:val="24"/>
        </w:rPr>
        <w:softHyphen/>
        <w:t>geblieben. Dies liegt in erster Linie an der Rechtspre</w:t>
      </w:r>
      <w:r w:rsidRPr="00154A79">
        <w:rPr>
          <w:rFonts w:ascii="Times New Roman" w:hAnsi="Times New Roman"/>
          <w:szCs w:val="24"/>
        </w:rPr>
        <w:t>chung, wonach die Exculpation aufgrun</w:t>
      </w:r>
      <w:r w:rsidR="00F41C08">
        <w:rPr>
          <w:rFonts w:ascii="Times New Roman" w:hAnsi="Times New Roman"/>
          <w:szCs w:val="24"/>
        </w:rPr>
        <w:t>d nicht krankheitsbedingter Stö</w:t>
      </w:r>
      <w:r w:rsidRPr="00154A79">
        <w:rPr>
          <w:rFonts w:ascii="Times New Roman" w:hAnsi="Times New Roman"/>
          <w:szCs w:val="24"/>
        </w:rPr>
        <w:t xml:space="preserve">rungen im </w:t>
      </w:r>
      <w:proofErr w:type="gramStart"/>
      <w:r w:rsidRPr="00154A79">
        <w:rPr>
          <w:rFonts w:ascii="Times New Roman" w:hAnsi="Times New Roman"/>
          <w:szCs w:val="24"/>
        </w:rPr>
        <w:t>al</w:t>
      </w:r>
      <w:r w:rsidR="00F41C08">
        <w:rPr>
          <w:rFonts w:ascii="Times New Roman" w:hAnsi="Times New Roman"/>
          <w:szCs w:val="24"/>
        </w:rPr>
        <w:t>l</w:t>
      </w:r>
      <w:r w:rsidRPr="00154A79">
        <w:rPr>
          <w:rFonts w:ascii="Times New Roman" w:hAnsi="Times New Roman"/>
          <w:szCs w:val="24"/>
        </w:rPr>
        <w:t>gemeinen</w:t>
      </w:r>
      <w:proofErr w:type="gramEnd"/>
      <w:r w:rsidRPr="00154A79">
        <w:rPr>
          <w:rFonts w:ascii="Times New Roman" w:hAnsi="Times New Roman"/>
          <w:szCs w:val="24"/>
        </w:rPr>
        <w:t xml:space="preserve"> und aufgrund des 4.</w:t>
      </w:r>
      <w:r w:rsidR="00F41C08">
        <w:rPr>
          <w:rFonts w:ascii="Times New Roman" w:hAnsi="Times New Roman"/>
          <w:szCs w:val="24"/>
        </w:rPr>
        <w:t xml:space="preserve"> Merkmals im </w:t>
      </w:r>
      <w:proofErr w:type="spellStart"/>
      <w:r w:rsidR="00F41C08">
        <w:rPr>
          <w:rFonts w:ascii="Times New Roman" w:hAnsi="Times New Roman"/>
          <w:szCs w:val="24"/>
        </w:rPr>
        <w:t>besonderen</w:t>
      </w:r>
      <w:proofErr w:type="spellEnd"/>
      <w:r w:rsidR="00F41C08">
        <w:rPr>
          <w:rFonts w:ascii="Times New Roman" w:hAnsi="Times New Roman"/>
          <w:szCs w:val="24"/>
        </w:rPr>
        <w:t xml:space="preserve"> nur aus</w:t>
      </w:r>
      <w:r w:rsidRPr="00154A79">
        <w:rPr>
          <w:rFonts w:ascii="Times New Roman" w:hAnsi="Times New Roman"/>
          <w:szCs w:val="24"/>
        </w:rPr>
        <w:t>nahmsweise</w:t>
      </w:r>
      <w:r w:rsidRPr="00154A79">
        <w:rPr>
          <w:rStyle w:val="Funotenzeichen"/>
          <w:rFonts w:ascii="Times New Roman" w:hAnsi="Times New Roman"/>
          <w:szCs w:val="24"/>
        </w:rPr>
        <w:footnoteReference w:id="54"/>
      </w:r>
      <w:r w:rsidRPr="00154A79">
        <w:rPr>
          <w:rFonts w:ascii="Times New Roman" w:hAnsi="Times New Roman"/>
          <w:szCs w:val="24"/>
        </w:rPr>
        <w:t>, u</w:t>
      </w:r>
      <w:r w:rsidR="00F41C08">
        <w:rPr>
          <w:rFonts w:ascii="Times New Roman" w:hAnsi="Times New Roman"/>
          <w:szCs w:val="24"/>
        </w:rPr>
        <w:t>nd das heißt im Klartext: grund</w:t>
      </w:r>
      <w:r w:rsidRPr="00154A79">
        <w:rPr>
          <w:rFonts w:ascii="Times New Roman" w:hAnsi="Times New Roman"/>
          <w:szCs w:val="24"/>
        </w:rPr>
        <w:t>sätzlich nicht in Betracht kommt</w:t>
      </w:r>
      <w:r w:rsidRPr="00154A79">
        <w:rPr>
          <w:rStyle w:val="Funotenzeichen"/>
          <w:rFonts w:ascii="Times New Roman" w:hAnsi="Times New Roman"/>
          <w:szCs w:val="24"/>
        </w:rPr>
        <w:footnoteReference w:id="55"/>
      </w:r>
      <w:r w:rsidRPr="00154A79">
        <w:rPr>
          <w:rFonts w:ascii="Times New Roman" w:hAnsi="Times New Roman"/>
          <w:szCs w:val="24"/>
        </w:rPr>
        <w:t>. Zudem erfährt der Anwendungsbereich eine wei</w:t>
      </w:r>
      <w:r w:rsidRPr="00154A79">
        <w:rPr>
          <w:rFonts w:ascii="Times New Roman" w:hAnsi="Times New Roman"/>
          <w:szCs w:val="24"/>
        </w:rPr>
        <w:t>tere Einschränkung durch das zu</w:t>
      </w:r>
      <w:r w:rsidRPr="00154A79">
        <w:rPr>
          <w:rFonts w:ascii="Times New Roman" w:hAnsi="Times New Roman"/>
          <w:szCs w:val="24"/>
        </w:rPr>
        <w:softHyphen/>
        <w:t xml:space="preserve">sätzliche Erfordernis, dass es sich </w:t>
      </w:r>
      <w:r w:rsidRPr="00154A79">
        <w:rPr>
          <w:rFonts w:ascii="Times New Roman" w:hAnsi="Times New Roman"/>
          <w:szCs w:val="24"/>
        </w:rPr>
        <w:t>um eine „schwere“ Abartigkeit handeln muß. In gleicher Weise wie au</w:t>
      </w:r>
      <w:r w:rsidR="00F41C08">
        <w:rPr>
          <w:rFonts w:ascii="Times New Roman" w:hAnsi="Times New Roman"/>
          <w:szCs w:val="24"/>
        </w:rPr>
        <w:t xml:space="preserve">ch schon bei der </w:t>
      </w:r>
      <w:proofErr w:type="spellStart"/>
      <w:r w:rsidR="00F41C08">
        <w:rPr>
          <w:rFonts w:ascii="Times New Roman" w:hAnsi="Times New Roman"/>
          <w:szCs w:val="24"/>
        </w:rPr>
        <w:t>Bewußtseinsstö</w:t>
      </w:r>
      <w:r w:rsidRPr="00154A79">
        <w:rPr>
          <w:rFonts w:ascii="Times New Roman" w:hAnsi="Times New Roman"/>
          <w:szCs w:val="24"/>
        </w:rPr>
        <w:t>rung</w:t>
      </w:r>
      <w:proofErr w:type="spellEnd"/>
      <w:r w:rsidRPr="00154A79">
        <w:rPr>
          <w:rFonts w:ascii="Times New Roman" w:hAnsi="Times New Roman"/>
          <w:szCs w:val="24"/>
        </w:rPr>
        <w:t xml:space="preserve"> und dem Wort „tiefgreifend“ arbeitet man hier mit einem Vergleich zum Ausmaß einer solchen Stö</w:t>
      </w:r>
      <w:r w:rsidRPr="00154A79">
        <w:rPr>
          <w:rFonts w:ascii="Times New Roman" w:hAnsi="Times New Roman"/>
          <w:szCs w:val="24"/>
        </w:rPr>
        <w:t>rung, die krankheitsbedingt ist. Die Rechtsprechung tut d</w:t>
      </w:r>
      <w:r w:rsidRPr="00154A79">
        <w:rPr>
          <w:rFonts w:ascii="Times New Roman" w:hAnsi="Times New Roman"/>
          <w:szCs w:val="24"/>
        </w:rPr>
        <w:t>ies wie</w:t>
      </w:r>
      <w:r w:rsidRPr="00154A79">
        <w:rPr>
          <w:rFonts w:ascii="Times New Roman" w:hAnsi="Times New Roman"/>
          <w:szCs w:val="24"/>
        </w:rPr>
        <w:t>derum unter Ver</w:t>
      </w:r>
      <w:r w:rsidRPr="00154A79">
        <w:rPr>
          <w:rFonts w:ascii="Times New Roman" w:hAnsi="Times New Roman"/>
          <w:szCs w:val="24"/>
        </w:rPr>
        <w:t>wendung des vermeintlichen Zauber</w:t>
      </w:r>
      <w:r w:rsidRPr="00154A79">
        <w:rPr>
          <w:rFonts w:ascii="Times New Roman" w:hAnsi="Times New Roman"/>
          <w:szCs w:val="24"/>
        </w:rPr>
        <w:t>worts vom Krankheitswert</w:t>
      </w:r>
      <w:r w:rsidRPr="00154A79">
        <w:rPr>
          <w:rStyle w:val="Funotenzeichen"/>
          <w:rFonts w:ascii="Times New Roman" w:hAnsi="Times New Roman"/>
          <w:szCs w:val="24"/>
        </w:rPr>
        <w:footnoteReference w:id="56"/>
      </w:r>
      <w:r w:rsidRPr="00154A79">
        <w:rPr>
          <w:rFonts w:ascii="Times New Roman" w:hAnsi="Times New Roman"/>
          <w:szCs w:val="24"/>
        </w:rPr>
        <w:t>.</w:t>
      </w:r>
    </w:p>
    <w:p w:rsidR="00000000" w:rsidRPr="00154A79" w:rsidRDefault="00046A2F" w:rsidP="00F41C08">
      <w:pPr>
        <w:pStyle w:val="berschrift2"/>
        <w:spacing w:before="240" w:line="360" w:lineRule="auto"/>
        <w:jc w:val="both"/>
        <w:rPr>
          <w:rFonts w:ascii="Times New Roman" w:hAnsi="Times New Roman"/>
          <w:szCs w:val="24"/>
        </w:rPr>
      </w:pPr>
      <w:r w:rsidRPr="00154A79">
        <w:rPr>
          <w:rFonts w:ascii="Times New Roman" w:hAnsi="Times New Roman"/>
          <w:szCs w:val="24"/>
        </w:rPr>
        <w:t>2. Die Auswirkungen auf der zweiten Stufe</w:t>
      </w:r>
    </w:p>
    <w:p w:rsidR="00000000" w:rsidRPr="00154A79" w:rsidRDefault="00046A2F" w:rsidP="000C0B71">
      <w:pPr>
        <w:pStyle w:val="Standardeinzug"/>
        <w:spacing w:line="360" w:lineRule="auto"/>
        <w:ind w:left="0"/>
        <w:jc w:val="both"/>
        <w:rPr>
          <w:rFonts w:ascii="Times New Roman" w:hAnsi="Times New Roman"/>
          <w:szCs w:val="24"/>
        </w:rPr>
      </w:pPr>
      <w:r w:rsidRPr="00154A79">
        <w:rPr>
          <w:rFonts w:ascii="Times New Roman" w:hAnsi="Times New Roman"/>
          <w:szCs w:val="24"/>
        </w:rPr>
        <w:t>Auf der zweiten Stufe ist zu prüfen, ob infolge der diagnostizierten Störung die Ein</w:t>
      </w:r>
      <w:r w:rsidRPr="00154A79">
        <w:rPr>
          <w:rFonts w:ascii="Times New Roman" w:hAnsi="Times New Roman"/>
          <w:szCs w:val="24"/>
        </w:rPr>
        <w:t xml:space="preserve">sichts- oder </w:t>
      </w:r>
      <w:proofErr w:type="spellStart"/>
      <w:r w:rsidRPr="00154A79">
        <w:rPr>
          <w:rFonts w:ascii="Times New Roman" w:hAnsi="Times New Roman"/>
          <w:szCs w:val="24"/>
        </w:rPr>
        <w:t>Steuerungsfähgikeit</w:t>
      </w:r>
      <w:proofErr w:type="spellEnd"/>
      <w:r w:rsidRPr="00154A79">
        <w:rPr>
          <w:rFonts w:ascii="Times New Roman" w:hAnsi="Times New Roman"/>
          <w:szCs w:val="24"/>
        </w:rPr>
        <w:t xml:space="preserve"> ausgeschlo</w:t>
      </w:r>
      <w:r w:rsidRPr="00154A79">
        <w:rPr>
          <w:rFonts w:ascii="Times New Roman" w:hAnsi="Times New Roman"/>
          <w:szCs w:val="24"/>
        </w:rPr>
        <w:t xml:space="preserve">ssen oder erheblich vermindert war. </w:t>
      </w:r>
      <w:r w:rsidRPr="00154A79">
        <w:rPr>
          <w:rFonts w:ascii="Times New Roman" w:hAnsi="Times New Roman"/>
          <w:szCs w:val="24"/>
        </w:rPr>
        <w:t>Dabei meint Einsichtsfähigkeit die Fähigkeit, kognitive Funktionen derart zu aktivie</w:t>
      </w:r>
      <w:r w:rsidRPr="00154A79">
        <w:rPr>
          <w:rFonts w:ascii="Times New Roman" w:hAnsi="Times New Roman"/>
          <w:szCs w:val="24"/>
        </w:rPr>
        <w:t xml:space="preserve">ren, dass der Täter das Unrecht seines Handelns erkennen und </w:t>
      </w:r>
      <w:proofErr w:type="spellStart"/>
      <w:proofErr w:type="gramStart"/>
      <w:r w:rsidRPr="00154A79">
        <w:rPr>
          <w:rFonts w:ascii="Times New Roman" w:hAnsi="Times New Roman"/>
          <w:szCs w:val="24"/>
        </w:rPr>
        <w:t>kann.</w:t>
      </w:r>
      <w:r w:rsidRPr="00154A79">
        <w:rPr>
          <w:rFonts w:ascii="Times New Roman" w:hAnsi="Times New Roman"/>
          <w:szCs w:val="24"/>
        </w:rPr>
        <w:t>Hier</w:t>
      </w:r>
      <w:proofErr w:type="spellEnd"/>
      <w:proofErr w:type="gramEnd"/>
      <w:r w:rsidRPr="00154A79">
        <w:rPr>
          <w:rFonts w:ascii="Times New Roman" w:hAnsi="Times New Roman"/>
          <w:szCs w:val="24"/>
        </w:rPr>
        <w:t xml:space="preserve"> sind Beeinträchtigungen nicht nur bei schwerwiegenden intellek</w:t>
      </w:r>
      <w:r w:rsidRPr="00154A79">
        <w:rPr>
          <w:rFonts w:ascii="Times New Roman" w:hAnsi="Times New Roman"/>
          <w:szCs w:val="24"/>
        </w:rPr>
        <w:t>tuellen Einbu</w:t>
      </w:r>
      <w:r w:rsidRPr="00154A79">
        <w:rPr>
          <w:rFonts w:ascii="Times New Roman" w:hAnsi="Times New Roman"/>
          <w:szCs w:val="24"/>
        </w:rPr>
        <w:t>ßen wie etwa bei der Altersdemenz oder beim Schwachsinn denkbar, sondern bei</w:t>
      </w:r>
      <w:r w:rsidRPr="00154A79">
        <w:rPr>
          <w:rFonts w:ascii="Times New Roman" w:hAnsi="Times New Roman"/>
          <w:szCs w:val="24"/>
        </w:rPr>
        <w:t>spiels</w:t>
      </w:r>
      <w:r w:rsidRPr="00154A79">
        <w:rPr>
          <w:rFonts w:ascii="Times New Roman" w:hAnsi="Times New Roman"/>
          <w:szCs w:val="24"/>
        </w:rPr>
        <w:t>weise auch infolge psychotischer Realitätsverkennungen. Demgegenüber geht es bei der Steuerungsfähigkeit darum, dass sich der Täter durch die - erkannten - No</w:t>
      </w:r>
      <w:r w:rsidRPr="00154A79">
        <w:rPr>
          <w:rFonts w:ascii="Times New Roman" w:hAnsi="Times New Roman"/>
          <w:szCs w:val="24"/>
        </w:rPr>
        <w:t>rmen zum rechtmäßigen Verhalten motivieren lassen kann und den Anreizen zur Tat wi</w:t>
      </w:r>
      <w:r w:rsidRPr="00154A79">
        <w:rPr>
          <w:rFonts w:ascii="Times New Roman" w:hAnsi="Times New Roman"/>
          <w:szCs w:val="24"/>
        </w:rPr>
        <w:t>dersteht</w:t>
      </w:r>
      <w:r w:rsidRPr="00154A79">
        <w:rPr>
          <w:rStyle w:val="Funotenzeichen"/>
          <w:rFonts w:ascii="Times New Roman" w:hAnsi="Times New Roman"/>
          <w:szCs w:val="24"/>
        </w:rPr>
        <w:footnoteReference w:id="57"/>
      </w:r>
      <w:r w:rsidRPr="00154A79">
        <w:rPr>
          <w:rFonts w:ascii="Times New Roman" w:hAnsi="Times New Roman"/>
          <w:szCs w:val="24"/>
        </w:rPr>
        <w:t xml:space="preserve">. Zu ggf. de- oder </w:t>
      </w:r>
      <w:proofErr w:type="spellStart"/>
      <w:r w:rsidRPr="00154A79">
        <w:rPr>
          <w:rFonts w:ascii="Times New Roman" w:hAnsi="Times New Roman"/>
          <w:szCs w:val="24"/>
        </w:rPr>
        <w:t>exculpierenden</w:t>
      </w:r>
      <w:proofErr w:type="spellEnd"/>
      <w:r w:rsidRPr="00154A79">
        <w:rPr>
          <w:rFonts w:ascii="Times New Roman" w:hAnsi="Times New Roman"/>
          <w:szCs w:val="24"/>
        </w:rPr>
        <w:t xml:space="preserve"> Enthemmungen kann es nament</w:t>
      </w:r>
      <w:r w:rsidRPr="00154A79">
        <w:rPr>
          <w:rFonts w:ascii="Times New Roman" w:hAnsi="Times New Roman"/>
          <w:szCs w:val="24"/>
        </w:rPr>
        <w:t>lich durch Rauschzustände kommen oder etwa bei Triebtätern mit entsprechenden Störungen der Impulskont</w:t>
      </w:r>
      <w:r w:rsidRPr="00154A79">
        <w:rPr>
          <w:rFonts w:ascii="Times New Roman" w:hAnsi="Times New Roman"/>
          <w:szCs w:val="24"/>
        </w:rPr>
        <w:t>rolle.</w:t>
      </w:r>
    </w:p>
    <w:p w:rsidR="00000000" w:rsidRPr="00154A79" w:rsidRDefault="00046A2F" w:rsidP="00F41C08">
      <w:pPr>
        <w:pStyle w:val="Standardeinzug"/>
        <w:spacing w:before="120" w:line="360" w:lineRule="auto"/>
        <w:ind w:left="0"/>
        <w:jc w:val="both"/>
        <w:rPr>
          <w:rFonts w:ascii="Times New Roman" w:hAnsi="Times New Roman"/>
          <w:szCs w:val="24"/>
        </w:rPr>
      </w:pPr>
      <w:r w:rsidRPr="00154A79">
        <w:rPr>
          <w:rFonts w:ascii="Times New Roman" w:hAnsi="Times New Roman"/>
          <w:szCs w:val="24"/>
        </w:rPr>
        <w:t>Die Prüffolge ist vom Gesetz sowohl für die beiden Vorschriften selbst als auch in</w:t>
      </w:r>
      <w:r w:rsidRPr="00154A79">
        <w:rPr>
          <w:rFonts w:ascii="Times New Roman" w:hAnsi="Times New Roman"/>
          <w:szCs w:val="24"/>
        </w:rPr>
        <w:t>nerhalb der §§ 20, 21 StGB vorgegeben: Da Schuldunfähigkeit und verminderte Schuldfähigkeit auf den gleichen Voraussetzungen aufbauen, ist die weitergehende Vorschrif</w:t>
      </w:r>
      <w:r w:rsidRPr="00154A79">
        <w:rPr>
          <w:rFonts w:ascii="Times New Roman" w:hAnsi="Times New Roman"/>
          <w:szCs w:val="24"/>
        </w:rPr>
        <w:t>t des § 20 StGB zuerst zu prüfen, erst wenn sich dabei ergibt, dass keine Schuldunfähigkeit vorliegt, fragt sich, ob der Defekt jedenfalls noch eine Verminde</w:t>
      </w:r>
      <w:r w:rsidRPr="00154A79">
        <w:rPr>
          <w:rFonts w:ascii="Times New Roman" w:hAnsi="Times New Roman"/>
          <w:szCs w:val="24"/>
        </w:rPr>
        <w:t>rung der Schuldfähigkeit nach § 21 StGB verursacht hat. Letzteres ist der Fall, wenn der Defekt zw</w:t>
      </w:r>
      <w:r w:rsidRPr="00154A79">
        <w:rPr>
          <w:rFonts w:ascii="Times New Roman" w:hAnsi="Times New Roman"/>
          <w:szCs w:val="24"/>
        </w:rPr>
        <w:t>ar so erheblich ist, dass er nicht mehr in den Bereich des äußerstenfalls noch zum Normalen zählenden fällt</w:t>
      </w:r>
      <w:r w:rsidRPr="00154A79">
        <w:rPr>
          <w:rStyle w:val="Funotenzeichen"/>
          <w:rFonts w:ascii="Times New Roman" w:hAnsi="Times New Roman"/>
          <w:szCs w:val="24"/>
        </w:rPr>
        <w:footnoteReference w:id="58"/>
      </w:r>
      <w:r w:rsidRPr="00154A79">
        <w:rPr>
          <w:rFonts w:ascii="Times New Roman" w:hAnsi="Times New Roman"/>
          <w:szCs w:val="24"/>
        </w:rPr>
        <w:t>, andererseits jedoch nicht so stark ausgeprägt ist, dass er zu einer Aufhebung der Schuldfähigkeit geführt hat. Dabei darf die vermin</w:t>
      </w:r>
      <w:r w:rsidRPr="00154A79">
        <w:rPr>
          <w:rFonts w:ascii="Times New Roman" w:hAnsi="Times New Roman"/>
          <w:szCs w:val="24"/>
        </w:rPr>
        <w:softHyphen/>
        <w:t>derte Schuldf</w:t>
      </w:r>
      <w:r w:rsidRPr="00154A79">
        <w:rPr>
          <w:rFonts w:ascii="Times New Roman" w:hAnsi="Times New Roman"/>
          <w:szCs w:val="24"/>
        </w:rPr>
        <w:t>ähigkeit jedoch nicht als eine Art Zwischenstufe auf der Skala zwischen Schuldfähigkeit und Schuldunfähigkeit mißverstanden werden, auch der vermindert schuldfähige Täter ist schließlich schuldfähig. Es geht lediglich darum, dass ihm das normgemäße Verhalt</w:t>
      </w:r>
      <w:r w:rsidRPr="00154A79">
        <w:rPr>
          <w:rFonts w:ascii="Times New Roman" w:hAnsi="Times New Roman"/>
          <w:szCs w:val="24"/>
        </w:rPr>
        <w:t>en sehr viel schwerer fällt, als einem Täter ohne seelische Stö</w:t>
      </w:r>
      <w:r w:rsidRPr="00154A79">
        <w:rPr>
          <w:rFonts w:ascii="Times New Roman" w:hAnsi="Times New Roman"/>
          <w:szCs w:val="24"/>
        </w:rPr>
        <w:t>rungen</w:t>
      </w:r>
      <w:r w:rsidRPr="00154A79">
        <w:rPr>
          <w:rStyle w:val="Funotenzeichen"/>
          <w:rFonts w:ascii="Times New Roman" w:hAnsi="Times New Roman"/>
          <w:szCs w:val="24"/>
        </w:rPr>
        <w:footnoteReference w:id="59"/>
      </w:r>
      <w:r w:rsidRPr="00154A79">
        <w:rPr>
          <w:rFonts w:ascii="Times New Roman" w:hAnsi="Times New Roman"/>
          <w:szCs w:val="24"/>
        </w:rPr>
        <w:t>.</w:t>
      </w:r>
    </w:p>
    <w:p w:rsidR="0039590E" w:rsidRDefault="00046A2F" w:rsidP="0039590E">
      <w:pPr>
        <w:pStyle w:val="Standardeinzug"/>
        <w:spacing w:before="120" w:line="360" w:lineRule="auto"/>
        <w:ind w:left="0"/>
        <w:jc w:val="both"/>
        <w:rPr>
          <w:rFonts w:ascii="Times New Roman" w:hAnsi="Times New Roman"/>
          <w:szCs w:val="24"/>
        </w:rPr>
      </w:pPr>
      <w:r w:rsidRPr="00154A79">
        <w:rPr>
          <w:rFonts w:ascii="Times New Roman" w:hAnsi="Times New Roman"/>
          <w:szCs w:val="24"/>
        </w:rPr>
        <w:t>Für die Einsichts- und die Steuerungsfähigkeit gilt, dass stets die jeweils 1. Alt., d.h. die Einsichtsfähigkeit vor der 2. Alt. der Steuerungsfähigkeit zu prüfen ist, denn dort wo d</w:t>
      </w:r>
      <w:r w:rsidRPr="00154A79">
        <w:rPr>
          <w:rFonts w:ascii="Times New Roman" w:hAnsi="Times New Roman"/>
          <w:szCs w:val="24"/>
        </w:rPr>
        <w:t>em Täter schon diese Fähigkeit fehlt, kann er schwerlich noch danach handeln. Während es bei § 20, 1.Alt StGB genügt, das Fehlen der Einsichtsfähigkeit festzu</w:t>
      </w:r>
      <w:r w:rsidRPr="00154A79">
        <w:rPr>
          <w:rFonts w:ascii="Times New Roman" w:hAnsi="Times New Roman"/>
          <w:szCs w:val="24"/>
        </w:rPr>
        <w:t>stel</w:t>
      </w:r>
      <w:r w:rsidRPr="00154A79">
        <w:rPr>
          <w:rFonts w:ascii="Times New Roman" w:hAnsi="Times New Roman"/>
          <w:szCs w:val="24"/>
        </w:rPr>
        <w:t xml:space="preserve">len, </w:t>
      </w:r>
      <w:proofErr w:type="spellStart"/>
      <w:r w:rsidRPr="00154A79">
        <w:rPr>
          <w:rFonts w:ascii="Times New Roman" w:hAnsi="Times New Roman"/>
          <w:szCs w:val="24"/>
        </w:rPr>
        <w:t>muß</w:t>
      </w:r>
      <w:proofErr w:type="spellEnd"/>
      <w:r w:rsidRPr="00154A79">
        <w:rPr>
          <w:rFonts w:ascii="Times New Roman" w:hAnsi="Times New Roman"/>
          <w:szCs w:val="24"/>
        </w:rPr>
        <w:t xml:space="preserve"> für den Fall, dass diese Fähigkeit i.S. des § 21, 1.Alt. StGB nur vermin</w:t>
      </w:r>
      <w:r w:rsidRPr="00154A79">
        <w:rPr>
          <w:rFonts w:ascii="Times New Roman" w:hAnsi="Times New Roman"/>
          <w:szCs w:val="24"/>
        </w:rPr>
        <w:t xml:space="preserve">dert ist, </w:t>
      </w:r>
      <w:r w:rsidRPr="00154A79">
        <w:rPr>
          <w:rFonts w:ascii="Times New Roman" w:hAnsi="Times New Roman"/>
          <w:szCs w:val="24"/>
        </w:rPr>
        <w:t>darüber hinaus auch festgestellt werden, ob diese Verminderung ih</w:t>
      </w:r>
      <w:r w:rsidRPr="00154A79">
        <w:rPr>
          <w:rFonts w:ascii="Times New Roman" w:hAnsi="Times New Roman"/>
          <w:szCs w:val="24"/>
        </w:rPr>
        <w:t xml:space="preserve">rerseits im konkreten Fall auch zur Folge hatte, dass dem Täter die Unrechtseinsicht fehlte. </w:t>
      </w:r>
    </w:p>
    <w:p w:rsidR="0039590E" w:rsidRDefault="0039590E" w:rsidP="0039590E">
      <w:pPr>
        <w:pStyle w:val="Standardeinzug"/>
        <w:spacing w:before="240" w:line="360" w:lineRule="auto"/>
        <w:ind w:left="0"/>
        <w:jc w:val="center"/>
        <w:rPr>
          <w:rFonts w:ascii="Times New Roman" w:hAnsi="Times New Roman"/>
          <w:szCs w:val="24"/>
        </w:rPr>
      </w:pPr>
      <w:r w:rsidRPr="007E5A67">
        <w:rPr>
          <w:rFonts w:ascii="Times New Roman" w:hAnsi="Times New Roman"/>
          <w:i/>
          <w:highlight w:val="lightGray"/>
        </w:rPr>
        <w:t xml:space="preserve">Jura 2001, </w:t>
      </w:r>
      <w:r w:rsidRPr="00F41C08">
        <w:rPr>
          <w:rFonts w:ascii="Times New Roman" w:hAnsi="Times New Roman"/>
          <w:i/>
          <w:highlight w:val="lightGray"/>
        </w:rPr>
        <w:t>3</w:t>
      </w:r>
      <w:r>
        <w:rPr>
          <w:rFonts w:ascii="Times New Roman" w:hAnsi="Times New Roman"/>
          <w:i/>
          <w:highlight w:val="lightGray"/>
        </w:rPr>
        <w:t>81</w:t>
      </w:r>
    </w:p>
    <w:p w:rsidR="00000000" w:rsidRPr="00154A79" w:rsidRDefault="00046A2F" w:rsidP="0039590E">
      <w:pPr>
        <w:pStyle w:val="Standardeinzug"/>
        <w:spacing w:before="120" w:line="360" w:lineRule="auto"/>
        <w:ind w:left="0"/>
        <w:jc w:val="both"/>
        <w:rPr>
          <w:rFonts w:ascii="Times New Roman" w:hAnsi="Times New Roman"/>
          <w:szCs w:val="24"/>
        </w:rPr>
      </w:pPr>
      <w:r w:rsidRPr="00154A79">
        <w:rPr>
          <w:rFonts w:ascii="Times New Roman" w:hAnsi="Times New Roman"/>
          <w:szCs w:val="24"/>
        </w:rPr>
        <w:t>Solange dem Täter jedoch letztlich eine Einsicht in das Unrecht gegeben ist, hält die Rechtsordnu</w:t>
      </w:r>
      <w:r w:rsidRPr="00154A79">
        <w:rPr>
          <w:rFonts w:ascii="Times New Roman" w:hAnsi="Times New Roman"/>
          <w:szCs w:val="24"/>
        </w:rPr>
        <w:t>ng - auch bei einer nur verminderten Einsichtsfähigkeit - an ihrer Erwar</w:t>
      </w:r>
      <w:r w:rsidRPr="00154A79">
        <w:rPr>
          <w:rFonts w:ascii="Times New Roman" w:hAnsi="Times New Roman"/>
          <w:szCs w:val="24"/>
        </w:rPr>
        <w:t>tung fest, dass sich der Täter nach dieser Einsicht richtet. Dies bedeutet, dass die 2. Alt. bei § 20 wie auch bei § 21 StGB erst zu prüfen i</w:t>
      </w:r>
      <w:r w:rsidR="0039590E">
        <w:rPr>
          <w:rFonts w:ascii="Times New Roman" w:hAnsi="Times New Roman"/>
          <w:szCs w:val="24"/>
        </w:rPr>
        <w:t>st, wenn feststeht, dass dem Tä</w:t>
      </w:r>
      <w:r w:rsidRPr="00154A79">
        <w:rPr>
          <w:rFonts w:ascii="Times New Roman" w:hAnsi="Times New Roman"/>
          <w:szCs w:val="24"/>
        </w:rPr>
        <w:t>ter die Ei</w:t>
      </w:r>
      <w:r w:rsidRPr="00154A79">
        <w:rPr>
          <w:rFonts w:ascii="Times New Roman" w:hAnsi="Times New Roman"/>
          <w:szCs w:val="24"/>
        </w:rPr>
        <w:t xml:space="preserve">nsichtsfähigkeit und die tatsächliche Unrechtseinsicht trotz seiner </w:t>
      </w:r>
      <w:proofErr w:type="spellStart"/>
      <w:proofErr w:type="gramStart"/>
      <w:r w:rsidRPr="00154A79">
        <w:rPr>
          <w:rFonts w:ascii="Times New Roman" w:hAnsi="Times New Roman"/>
          <w:szCs w:val="24"/>
        </w:rPr>
        <w:t>Stö-rung</w:t>
      </w:r>
      <w:proofErr w:type="spellEnd"/>
      <w:proofErr w:type="gramEnd"/>
      <w:r w:rsidRPr="00154A79">
        <w:rPr>
          <w:rFonts w:ascii="Times New Roman" w:hAnsi="Times New Roman"/>
          <w:szCs w:val="24"/>
        </w:rPr>
        <w:t xml:space="preserve"> geblieben ist. Die </w:t>
      </w:r>
      <w:r w:rsidRPr="00154A79">
        <w:rPr>
          <w:rFonts w:ascii="Times New Roman" w:hAnsi="Times New Roman"/>
          <w:szCs w:val="24"/>
        </w:rPr>
        <w:lastRenderedPageBreak/>
        <w:t xml:space="preserve">De- oder </w:t>
      </w:r>
      <w:proofErr w:type="spellStart"/>
      <w:r w:rsidRPr="00154A79">
        <w:rPr>
          <w:rFonts w:ascii="Times New Roman" w:hAnsi="Times New Roman"/>
          <w:szCs w:val="24"/>
        </w:rPr>
        <w:t>Exculpierung</w:t>
      </w:r>
      <w:proofErr w:type="spellEnd"/>
      <w:r w:rsidRPr="00154A79">
        <w:rPr>
          <w:rFonts w:ascii="Times New Roman" w:hAnsi="Times New Roman"/>
          <w:szCs w:val="24"/>
        </w:rPr>
        <w:t xml:space="preserve"> kann demn</w:t>
      </w:r>
      <w:r w:rsidR="0039590E">
        <w:rPr>
          <w:rFonts w:ascii="Times New Roman" w:hAnsi="Times New Roman"/>
          <w:szCs w:val="24"/>
        </w:rPr>
        <w:t>ach niemals auf beide Alternati</w:t>
      </w:r>
      <w:r w:rsidRPr="00154A79">
        <w:rPr>
          <w:rFonts w:ascii="Times New Roman" w:hAnsi="Times New Roman"/>
          <w:szCs w:val="24"/>
        </w:rPr>
        <w:t>ven gleichzeitig gestützt werden</w:t>
      </w:r>
      <w:r w:rsidRPr="00154A79">
        <w:rPr>
          <w:rStyle w:val="Funotenzeichen"/>
          <w:rFonts w:ascii="Times New Roman" w:hAnsi="Times New Roman"/>
          <w:szCs w:val="24"/>
        </w:rPr>
        <w:footnoteReference w:id="60"/>
      </w:r>
      <w:r w:rsidRPr="00154A79">
        <w:rPr>
          <w:rFonts w:ascii="Times New Roman" w:hAnsi="Times New Roman"/>
          <w:szCs w:val="24"/>
        </w:rPr>
        <w:t>.</w:t>
      </w:r>
    </w:p>
    <w:p w:rsidR="00000000" w:rsidRPr="00154A79" w:rsidRDefault="00046A2F" w:rsidP="0039590E">
      <w:pPr>
        <w:pStyle w:val="berschrift2"/>
        <w:spacing w:before="240" w:line="360" w:lineRule="auto"/>
        <w:jc w:val="both"/>
        <w:rPr>
          <w:rFonts w:ascii="Times New Roman" w:hAnsi="Times New Roman"/>
          <w:szCs w:val="24"/>
        </w:rPr>
      </w:pPr>
      <w:r w:rsidRPr="00154A79">
        <w:rPr>
          <w:rFonts w:ascii="Times New Roman" w:hAnsi="Times New Roman"/>
          <w:szCs w:val="24"/>
        </w:rPr>
        <w:t>III. Bemerkungen zur Prüfung der Schuldfähigkeit in der Praxi</w:t>
      </w:r>
      <w:r w:rsidRPr="00154A79">
        <w:rPr>
          <w:rFonts w:ascii="Times New Roman" w:hAnsi="Times New Roman"/>
          <w:szCs w:val="24"/>
        </w:rPr>
        <w:t xml:space="preserve">s </w:t>
      </w:r>
    </w:p>
    <w:p w:rsidR="00000000" w:rsidRPr="00154A79" w:rsidRDefault="00046A2F" w:rsidP="000C0B71">
      <w:pPr>
        <w:spacing w:line="360" w:lineRule="auto"/>
        <w:jc w:val="both"/>
        <w:rPr>
          <w:rFonts w:ascii="Times New Roman" w:hAnsi="Times New Roman"/>
          <w:szCs w:val="24"/>
        </w:rPr>
      </w:pPr>
      <w:r w:rsidRPr="00154A79">
        <w:rPr>
          <w:rFonts w:ascii="Times New Roman" w:hAnsi="Times New Roman"/>
          <w:szCs w:val="24"/>
        </w:rPr>
        <w:t>Wann immer tatsächliche Anhaltspunkte behauptet oder erkennbar sind, die den Ausschluss oder die Verminderung der Schuldfähigkeit möglich erscheinen lassen, muß dies geprüft und im Urteil auch erörtert werden</w:t>
      </w:r>
      <w:r w:rsidRPr="00154A79">
        <w:rPr>
          <w:rStyle w:val="Funotenzeichen"/>
          <w:rFonts w:ascii="Times New Roman" w:hAnsi="Times New Roman"/>
          <w:szCs w:val="24"/>
        </w:rPr>
        <w:footnoteReference w:id="61"/>
      </w:r>
      <w:r w:rsidRPr="00154A79">
        <w:rPr>
          <w:rFonts w:ascii="Times New Roman" w:hAnsi="Times New Roman"/>
          <w:szCs w:val="24"/>
        </w:rPr>
        <w:t>. Fehler in diesem Bereich sind nicht nur de</w:t>
      </w:r>
      <w:r w:rsidRPr="00154A79">
        <w:rPr>
          <w:rFonts w:ascii="Times New Roman" w:hAnsi="Times New Roman"/>
          <w:szCs w:val="24"/>
        </w:rPr>
        <w:t>shalb relevant, weil sie für den Erfolg einer Revision bürgen</w:t>
      </w:r>
      <w:r w:rsidRPr="00154A79">
        <w:rPr>
          <w:rStyle w:val="Funotenzeichen"/>
          <w:rFonts w:ascii="Times New Roman" w:hAnsi="Times New Roman"/>
          <w:szCs w:val="24"/>
        </w:rPr>
        <w:footnoteReference w:id="62"/>
      </w:r>
      <w:r w:rsidRPr="00154A79">
        <w:rPr>
          <w:rFonts w:ascii="Times New Roman" w:hAnsi="Times New Roman"/>
          <w:szCs w:val="24"/>
        </w:rPr>
        <w:t>. Da die Feststellung der §§ 20 bzw. 21 StGB auch Voraussetzung für eine psychiatrische Behandlung im Rahmen der Unterbringung nach § 6</w:t>
      </w:r>
      <w:r w:rsidR="0039590E">
        <w:rPr>
          <w:rFonts w:ascii="Times New Roman" w:hAnsi="Times New Roman"/>
          <w:szCs w:val="24"/>
        </w:rPr>
        <w:t>3 StGB ist, besteht darüber hin</w:t>
      </w:r>
      <w:r w:rsidRPr="00154A79">
        <w:rPr>
          <w:rFonts w:ascii="Times New Roman" w:hAnsi="Times New Roman"/>
          <w:szCs w:val="24"/>
        </w:rPr>
        <w:t>aus die Gefahr, dass ein ge</w:t>
      </w:r>
      <w:r w:rsidRPr="00154A79">
        <w:rPr>
          <w:rFonts w:ascii="Times New Roman" w:hAnsi="Times New Roman"/>
          <w:szCs w:val="24"/>
        </w:rPr>
        <w:t>fährlicher Täter nicht adäquat behandelt und demzufolge die Allgemeinheit nicht hinreichend geschützt wird, wenn das Vorliegen von §§ 20, 21 StGB nicht richtig erkannt wird</w:t>
      </w:r>
      <w:r w:rsidRPr="00154A79">
        <w:rPr>
          <w:rStyle w:val="Funotenzeichen"/>
          <w:rFonts w:ascii="Times New Roman" w:hAnsi="Times New Roman"/>
          <w:szCs w:val="24"/>
        </w:rPr>
        <w:footnoteReference w:id="63"/>
      </w:r>
      <w:r w:rsidRPr="00154A79">
        <w:rPr>
          <w:rFonts w:ascii="Times New Roman" w:hAnsi="Times New Roman"/>
          <w:szCs w:val="24"/>
        </w:rPr>
        <w:t>.</w:t>
      </w:r>
    </w:p>
    <w:p w:rsidR="00000000" w:rsidRPr="00154A79" w:rsidRDefault="00046A2F" w:rsidP="0039590E">
      <w:pPr>
        <w:spacing w:before="120" w:line="360" w:lineRule="auto"/>
        <w:jc w:val="both"/>
        <w:rPr>
          <w:rFonts w:ascii="Times New Roman" w:hAnsi="Times New Roman"/>
          <w:szCs w:val="24"/>
        </w:rPr>
      </w:pPr>
      <w:r w:rsidRPr="00154A79">
        <w:rPr>
          <w:rFonts w:ascii="Times New Roman" w:hAnsi="Times New Roman"/>
          <w:szCs w:val="24"/>
        </w:rPr>
        <w:t>Zwar steht dem Gericht für die Beurteilung der Schuldfähigkeit normalerweise ein</w:t>
      </w:r>
      <w:r w:rsidRPr="00154A79">
        <w:rPr>
          <w:rFonts w:ascii="Times New Roman" w:hAnsi="Times New Roman"/>
          <w:szCs w:val="24"/>
        </w:rPr>
        <w:t xml:space="preserve"> sachverständiger Gutachter zur Seite. Dies ergibt sich inzident schon aus §§ 80a und 246a StPO, wonach ein Sachverständiger u.a. gerade dann hinzuziehen ist, wenn als Rechtsfolge der Tat die Unterbringung des (notwend</w:t>
      </w:r>
      <w:r w:rsidR="0039590E">
        <w:rPr>
          <w:rFonts w:ascii="Times New Roman" w:hAnsi="Times New Roman"/>
          <w:szCs w:val="24"/>
        </w:rPr>
        <w:t>igerweise nicht voll schuldfähi</w:t>
      </w:r>
      <w:r w:rsidRPr="00154A79">
        <w:rPr>
          <w:rFonts w:ascii="Times New Roman" w:hAnsi="Times New Roman"/>
          <w:szCs w:val="24"/>
        </w:rPr>
        <w:t>gen) B</w:t>
      </w:r>
      <w:r w:rsidRPr="00154A79">
        <w:rPr>
          <w:rFonts w:ascii="Times New Roman" w:hAnsi="Times New Roman"/>
          <w:szCs w:val="24"/>
        </w:rPr>
        <w:t>eschuldigten in einem psychiatrischen Krankenhaus zu erwarten ist. Zudem ist es ständige Rechtsprechung und absolut herrschende Meinung, dass das Gericht normalerweise nicht selbst über die für die Schuldfähigkeitsbegutachtung</w:t>
      </w:r>
      <w:r w:rsidRPr="00154A79">
        <w:rPr>
          <w:rFonts w:ascii="Times New Roman" w:hAnsi="Times New Roman"/>
          <w:b/>
          <w:szCs w:val="24"/>
        </w:rPr>
        <w:t xml:space="preserve"> </w:t>
      </w:r>
      <w:r w:rsidRPr="00154A79">
        <w:rPr>
          <w:rFonts w:ascii="Times New Roman" w:hAnsi="Times New Roman"/>
          <w:szCs w:val="24"/>
        </w:rPr>
        <w:t>notwendige Sachkunde verfügt</w:t>
      </w:r>
      <w:r w:rsidRPr="00154A79">
        <w:rPr>
          <w:rStyle w:val="Funotenzeichen"/>
          <w:rFonts w:ascii="Times New Roman" w:hAnsi="Times New Roman"/>
          <w:szCs w:val="24"/>
        </w:rPr>
        <w:footnoteReference w:id="64"/>
      </w:r>
      <w:r w:rsidRPr="00154A79">
        <w:rPr>
          <w:rFonts w:ascii="Times New Roman" w:hAnsi="Times New Roman"/>
          <w:szCs w:val="24"/>
        </w:rPr>
        <w:t>. Doch befreit dies den Richter natürlich nicht von eigenen Ent</w:t>
      </w:r>
      <w:r w:rsidRPr="00154A79">
        <w:rPr>
          <w:rFonts w:ascii="Times New Roman" w:hAnsi="Times New Roman"/>
          <w:szCs w:val="24"/>
        </w:rPr>
        <w:t>scheidungen. Der Sachverständige kann und darf nämlich gar nicht an</w:t>
      </w:r>
      <w:r w:rsidRPr="00154A79">
        <w:rPr>
          <w:rFonts w:ascii="Times New Roman" w:hAnsi="Times New Roman"/>
          <w:szCs w:val="24"/>
        </w:rPr>
        <w:t>stelle des Richters darüber befinden, ob die Voraussetzungen der Schuldunfähigkeit oder ver</w:t>
      </w:r>
      <w:r w:rsidRPr="00154A79">
        <w:rPr>
          <w:rFonts w:ascii="Times New Roman" w:hAnsi="Times New Roman"/>
          <w:szCs w:val="24"/>
        </w:rPr>
        <w:t>minderten Schuldfähigkeit vorlie</w:t>
      </w:r>
      <w:r w:rsidRPr="00154A79">
        <w:rPr>
          <w:rFonts w:ascii="Times New Roman" w:hAnsi="Times New Roman"/>
          <w:szCs w:val="24"/>
        </w:rPr>
        <w:t>gen. Er ist lediglich Gehilfe des Gerichts und stellt diesem sein Fachwissen gerade deshalb zur Verfügung, damit es auf dieser Grund</w:t>
      </w:r>
      <w:r w:rsidRPr="00154A79">
        <w:rPr>
          <w:rFonts w:ascii="Times New Roman" w:hAnsi="Times New Roman"/>
          <w:szCs w:val="24"/>
        </w:rPr>
        <w:t>lage selbst zu einer Entscheidung kommen kann</w:t>
      </w:r>
      <w:r w:rsidRPr="00154A79">
        <w:rPr>
          <w:rStyle w:val="Funotenzeichen"/>
          <w:rFonts w:ascii="Times New Roman" w:hAnsi="Times New Roman"/>
          <w:szCs w:val="24"/>
        </w:rPr>
        <w:footnoteReference w:id="65"/>
      </w:r>
      <w:r w:rsidRPr="00154A79">
        <w:rPr>
          <w:rFonts w:ascii="Times New Roman" w:hAnsi="Times New Roman"/>
          <w:szCs w:val="24"/>
        </w:rPr>
        <w:t>. Dies ist etwa so, als lie</w:t>
      </w:r>
      <w:r w:rsidRPr="00154A79">
        <w:rPr>
          <w:rFonts w:ascii="Times New Roman" w:hAnsi="Times New Roman"/>
          <w:szCs w:val="24"/>
        </w:rPr>
        <w:t>ferte ein Dolmetscher nicht gleich den vollständi</w:t>
      </w:r>
      <w:r w:rsidRPr="00154A79">
        <w:rPr>
          <w:rFonts w:ascii="Times New Roman" w:hAnsi="Times New Roman"/>
          <w:szCs w:val="24"/>
        </w:rPr>
        <w:t>g übersetzten Text, sondern lediglich die not</w:t>
      </w:r>
      <w:r w:rsidRPr="00154A79">
        <w:rPr>
          <w:rFonts w:ascii="Times New Roman" w:hAnsi="Times New Roman"/>
          <w:szCs w:val="24"/>
        </w:rPr>
        <w:t>wendige Grammatik und das Vokabular, mit deren Hilfe das Gericht die Über</w:t>
      </w:r>
      <w:r w:rsidRPr="00154A79">
        <w:rPr>
          <w:rFonts w:ascii="Times New Roman" w:hAnsi="Times New Roman"/>
          <w:szCs w:val="24"/>
        </w:rPr>
        <w:t xml:space="preserve">setzung dann selbst anfertigte. Doch um </w:t>
      </w:r>
      <w:r w:rsidRPr="00154A79">
        <w:rPr>
          <w:rFonts w:ascii="Times New Roman" w:hAnsi="Times New Roman"/>
          <w:szCs w:val="24"/>
        </w:rPr>
        <w:lastRenderedPageBreak/>
        <w:t>überprüfen zu können, ob der Wortsinn wirklich erfasst ist, braucht ein Dolmetscher möglicherwei</w:t>
      </w:r>
      <w:r w:rsidRPr="00154A79">
        <w:rPr>
          <w:rFonts w:ascii="Times New Roman" w:hAnsi="Times New Roman"/>
          <w:szCs w:val="24"/>
        </w:rPr>
        <w:t>se mehrere Wörterbücher. Ähnlich verhält es sich mit den Kenntnissen über die Schuldfähigkeitsbegutachtung: Um sich im wahrsten Sinne des Wortes ein eigenes Urteil bilden und vor allem auch denkbare Fehlerquellen entdecken zu können, braucht der Richter In</w:t>
      </w:r>
      <w:r w:rsidRPr="00154A79">
        <w:rPr>
          <w:rFonts w:ascii="Times New Roman" w:hAnsi="Times New Roman"/>
          <w:szCs w:val="24"/>
        </w:rPr>
        <w:t>formationen über den Auf</w:t>
      </w:r>
      <w:r w:rsidRPr="00154A79">
        <w:rPr>
          <w:rFonts w:ascii="Times New Roman" w:hAnsi="Times New Roman"/>
          <w:szCs w:val="24"/>
        </w:rPr>
        <w:t>bau und die Methode der Begutachtung schlechthin, die er sich nur durch eine ent</w:t>
      </w:r>
      <w:r w:rsidRPr="00154A79">
        <w:rPr>
          <w:rFonts w:ascii="Times New Roman" w:hAnsi="Times New Roman"/>
          <w:szCs w:val="24"/>
        </w:rPr>
        <w:t>sprechende Fortbildung aneignen kann. Ein Übersichtsaufsatz wie dieser vermag dies nicht zu leisten</w:t>
      </w:r>
      <w:r w:rsidRPr="00154A79">
        <w:rPr>
          <w:rStyle w:val="Funotenzeichen"/>
          <w:rFonts w:ascii="Times New Roman" w:hAnsi="Times New Roman"/>
          <w:szCs w:val="24"/>
        </w:rPr>
        <w:footnoteReference w:id="66"/>
      </w:r>
      <w:r w:rsidRPr="00154A79">
        <w:rPr>
          <w:rFonts w:ascii="Times New Roman" w:hAnsi="Times New Roman"/>
          <w:szCs w:val="24"/>
        </w:rPr>
        <w:t xml:space="preserve">. </w:t>
      </w:r>
    </w:p>
    <w:p w:rsidR="00000000" w:rsidRPr="00154A79" w:rsidRDefault="00046A2F" w:rsidP="0039590E">
      <w:pPr>
        <w:spacing w:before="120" w:line="360" w:lineRule="auto"/>
        <w:jc w:val="both"/>
        <w:rPr>
          <w:rFonts w:ascii="Times New Roman" w:hAnsi="Times New Roman"/>
          <w:szCs w:val="24"/>
        </w:rPr>
      </w:pPr>
      <w:r w:rsidRPr="00154A79">
        <w:rPr>
          <w:rFonts w:ascii="Times New Roman" w:hAnsi="Times New Roman"/>
          <w:szCs w:val="24"/>
        </w:rPr>
        <w:t xml:space="preserve">Im </w:t>
      </w:r>
      <w:proofErr w:type="spellStart"/>
      <w:proofErr w:type="gramStart"/>
      <w:r w:rsidRPr="00154A79">
        <w:rPr>
          <w:rFonts w:ascii="Times New Roman" w:hAnsi="Times New Roman"/>
          <w:szCs w:val="24"/>
        </w:rPr>
        <w:t>übrigen</w:t>
      </w:r>
      <w:proofErr w:type="spellEnd"/>
      <w:proofErr w:type="gramEnd"/>
      <w:r w:rsidRPr="00154A79">
        <w:rPr>
          <w:rFonts w:ascii="Times New Roman" w:hAnsi="Times New Roman"/>
          <w:szCs w:val="24"/>
        </w:rPr>
        <w:t xml:space="preserve"> fangen die Schwierigkeiten keineswe</w:t>
      </w:r>
      <w:r w:rsidRPr="00154A79">
        <w:rPr>
          <w:rFonts w:ascii="Times New Roman" w:hAnsi="Times New Roman"/>
          <w:szCs w:val="24"/>
        </w:rPr>
        <w:t>gs erst in dem Moment an, in dem das Gutachten vorliegt, sie beginnen vielmehr gerade mit der Entscheidung darüber, ob ein Gutachten einzuholen ist</w:t>
      </w:r>
      <w:r w:rsidRPr="00154A79">
        <w:rPr>
          <w:rStyle w:val="Funotenzeichen"/>
          <w:rFonts w:ascii="Times New Roman" w:hAnsi="Times New Roman"/>
          <w:szCs w:val="24"/>
        </w:rPr>
        <w:footnoteReference w:id="67"/>
      </w:r>
      <w:r w:rsidRPr="00154A79">
        <w:rPr>
          <w:rFonts w:ascii="Times New Roman" w:hAnsi="Times New Roman"/>
          <w:szCs w:val="24"/>
        </w:rPr>
        <w:t>. Gerade weil dem Gericht die notwendige Sach</w:t>
      </w:r>
      <w:r w:rsidRPr="00154A79">
        <w:rPr>
          <w:rFonts w:ascii="Times New Roman" w:hAnsi="Times New Roman"/>
          <w:szCs w:val="24"/>
        </w:rPr>
        <w:t xml:space="preserve">kunde normalerweise nicht zugebilligt wird, muß es also schon </w:t>
      </w:r>
      <w:r w:rsidRPr="00154A79">
        <w:rPr>
          <w:rFonts w:ascii="Times New Roman" w:hAnsi="Times New Roman"/>
          <w:szCs w:val="24"/>
        </w:rPr>
        <w:t xml:space="preserve">die Anhaltspunkte, welche Zweifel für die volle Schuldfähigkeit des Täters begründen können, richtig deuten, denn sie sind es, aus denen die Notwendigkeit eines Gutachtens resultiert. Während es im Studium noch galt, solche Sachverhaltsangaben wie den der </w:t>
      </w:r>
      <w:r w:rsidRPr="00154A79">
        <w:rPr>
          <w:rFonts w:ascii="Times New Roman" w:hAnsi="Times New Roman"/>
          <w:szCs w:val="24"/>
        </w:rPr>
        <w:t>Tat vor</w:t>
      </w:r>
      <w:r w:rsidRPr="00154A79">
        <w:rPr>
          <w:rFonts w:ascii="Times New Roman" w:hAnsi="Times New Roman"/>
          <w:szCs w:val="24"/>
        </w:rPr>
        <w:softHyphen/>
        <w:t>ausgegangen Alkoholkonsum tunlichst nicht als Hinweise für eine vertiefte Schuldfä</w:t>
      </w:r>
      <w:r w:rsidRPr="00154A79">
        <w:rPr>
          <w:rFonts w:ascii="Times New Roman" w:hAnsi="Times New Roman"/>
          <w:szCs w:val="24"/>
        </w:rPr>
        <w:softHyphen/>
        <w:t>higkeitsprüfung zu mißdeuten</w:t>
      </w:r>
      <w:r w:rsidRPr="00154A79">
        <w:rPr>
          <w:rStyle w:val="Funotenzeichen"/>
          <w:rFonts w:ascii="Times New Roman" w:hAnsi="Times New Roman"/>
          <w:szCs w:val="24"/>
        </w:rPr>
        <w:footnoteReference w:id="68"/>
      </w:r>
      <w:r w:rsidRPr="00154A79">
        <w:rPr>
          <w:rFonts w:ascii="Times New Roman" w:hAnsi="Times New Roman"/>
          <w:szCs w:val="24"/>
        </w:rPr>
        <w:t>, so ist auch und gerade derartigen Gesichtspunkten, die z.B. auf Erregung, Alkoholbeeinflussung und/oder Übernächtigung hinweisen</w:t>
      </w:r>
      <w:r w:rsidRPr="00154A79">
        <w:rPr>
          <w:rStyle w:val="Funotenzeichen"/>
          <w:rFonts w:ascii="Times New Roman" w:hAnsi="Times New Roman"/>
          <w:szCs w:val="24"/>
        </w:rPr>
        <w:footnoteReference w:id="69"/>
      </w:r>
      <w:r w:rsidRPr="00154A79">
        <w:rPr>
          <w:rFonts w:ascii="Times New Roman" w:hAnsi="Times New Roman"/>
          <w:szCs w:val="24"/>
        </w:rPr>
        <w:t xml:space="preserve">, in </w:t>
      </w:r>
      <w:r w:rsidRPr="00154A79">
        <w:rPr>
          <w:rFonts w:ascii="Times New Roman" w:hAnsi="Times New Roman"/>
          <w:szCs w:val="24"/>
        </w:rPr>
        <w:t xml:space="preserve">der Praxis nachzugehen. </w:t>
      </w:r>
    </w:p>
    <w:p w:rsidR="00000000" w:rsidRPr="00154A79" w:rsidRDefault="00046A2F" w:rsidP="0039590E">
      <w:pPr>
        <w:spacing w:before="120" w:line="360" w:lineRule="auto"/>
        <w:jc w:val="both"/>
        <w:rPr>
          <w:rFonts w:ascii="Times New Roman" w:hAnsi="Times New Roman"/>
          <w:szCs w:val="24"/>
        </w:rPr>
      </w:pPr>
      <w:r w:rsidRPr="00154A79">
        <w:rPr>
          <w:rFonts w:ascii="Times New Roman" w:hAnsi="Times New Roman"/>
          <w:szCs w:val="24"/>
        </w:rPr>
        <w:t>Verhältnismäßig einfach ist es noch, die Indizwirkung des Alkoholrauschs zu erken</w:t>
      </w:r>
      <w:r w:rsidRPr="00154A79">
        <w:rPr>
          <w:rFonts w:ascii="Times New Roman" w:hAnsi="Times New Roman"/>
          <w:szCs w:val="24"/>
        </w:rPr>
        <w:t>nen, da sie sich bereits unmittelbar aus der Blutalkoholkonzentration (BAK) ablesen läßt. Sie wird beim sofortigen Ergreifen des Täters meist routin</w:t>
      </w:r>
      <w:r w:rsidRPr="00154A79">
        <w:rPr>
          <w:rFonts w:ascii="Times New Roman" w:hAnsi="Times New Roman"/>
          <w:szCs w:val="24"/>
        </w:rPr>
        <w:t>emäßig mittels einer Blutprobe festgestellt wird und sich ansonsten auch zu einem späteren Zeitpunkt über die Angaben zur Trinkmenge errechnen läßt</w:t>
      </w:r>
      <w:r w:rsidRPr="00154A79">
        <w:rPr>
          <w:rStyle w:val="Funotenzeichen"/>
          <w:rFonts w:ascii="Times New Roman" w:hAnsi="Times New Roman"/>
          <w:szCs w:val="24"/>
        </w:rPr>
        <w:footnoteReference w:id="70"/>
      </w:r>
      <w:r w:rsidRPr="00154A79">
        <w:rPr>
          <w:rFonts w:ascii="Times New Roman" w:hAnsi="Times New Roman"/>
          <w:szCs w:val="24"/>
        </w:rPr>
        <w:t>. Die Rechtsprechung hat Faustformeln entwickelt, ab welcher BAK eine Alkoholintoxikation der Ausschluss ode</w:t>
      </w:r>
      <w:r w:rsidRPr="00154A79">
        <w:rPr>
          <w:rFonts w:ascii="Times New Roman" w:hAnsi="Times New Roman"/>
          <w:szCs w:val="24"/>
        </w:rPr>
        <w:t>r die Verminderung der Schuldfähigkeit zumindest in Betracht zu ziehen ist</w:t>
      </w:r>
      <w:r w:rsidRPr="00154A79">
        <w:rPr>
          <w:rStyle w:val="Funotenzeichen"/>
          <w:rFonts w:ascii="Times New Roman" w:hAnsi="Times New Roman"/>
          <w:szCs w:val="24"/>
        </w:rPr>
        <w:footnoteReference w:id="71"/>
      </w:r>
      <w:r w:rsidRPr="00154A79">
        <w:rPr>
          <w:rFonts w:ascii="Times New Roman" w:hAnsi="Times New Roman"/>
          <w:szCs w:val="24"/>
        </w:rPr>
        <w:t>. Da</w:t>
      </w:r>
      <w:r w:rsidRPr="00154A79">
        <w:rPr>
          <w:rFonts w:ascii="Times New Roman" w:hAnsi="Times New Roman"/>
          <w:szCs w:val="24"/>
        </w:rPr>
        <w:t>nach soll § 20 StGB ab einer BAK von 3</w:t>
      </w:r>
      <w:r w:rsidR="0039590E">
        <w:rPr>
          <w:rFonts w:ascii="Times New Roman" w:hAnsi="Times New Roman"/>
          <w:szCs w:val="24"/>
        </w:rPr>
        <w:t>‰</w:t>
      </w:r>
      <w:r w:rsidRPr="00154A79">
        <w:rPr>
          <w:rFonts w:ascii="Times New Roman" w:hAnsi="Times New Roman"/>
          <w:szCs w:val="24"/>
        </w:rPr>
        <w:t>, § 21 StGB ab einer BAK von 2</w:t>
      </w:r>
      <w:proofErr w:type="gramStart"/>
      <w:r w:rsidR="0039590E">
        <w:rPr>
          <w:rFonts w:ascii="Times New Roman" w:hAnsi="Times New Roman"/>
          <w:szCs w:val="24"/>
        </w:rPr>
        <w:t>‰</w:t>
      </w:r>
      <w:r w:rsidRPr="00154A79">
        <w:rPr>
          <w:rFonts w:ascii="Times New Roman" w:hAnsi="Times New Roman"/>
          <w:position w:val="-4"/>
          <w:szCs w:val="24"/>
        </w:rPr>
        <w:t xml:space="preserve"> </w:t>
      </w:r>
      <w:r w:rsidR="0039590E">
        <w:rPr>
          <w:rFonts w:ascii="Times New Roman" w:hAnsi="Times New Roman"/>
          <w:szCs w:val="24"/>
        </w:rPr>
        <w:t xml:space="preserve"> ge</w:t>
      </w:r>
      <w:r w:rsidRPr="00154A79">
        <w:rPr>
          <w:rFonts w:ascii="Times New Roman" w:hAnsi="Times New Roman"/>
          <w:szCs w:val="24"/>
        </w:rPr>
        <w:t>prüft</w:t>
      </w:r>
      <w:proofErr w:type="gramEnd"/>
      <w:r w:rsidRPr="00154A79">
        <w:rPr>
          <w:rFonts w:ascii="Times New Roman" w:hAnsi="Times New Roman"/>
          <w:szCs w:val="24"/>
        </w:rPr>
        <w:t xml:space="preserve"> werden, für die vorsätzlichen Tötungsdelikte g</w:t>
      </w:r>
      <w:r w:rsidR="0039590E">
        <w:rPr>
          <w:rFonts w:ascii="Times New Roman" w:hAnsi="Times New Roman"/>
          <w:szCs w:val="24"/>
        </w:rPr>
        <w:t>ilt dies jedoch wegen der erhöh</w:t>
      </w:r>
      <w:r w:rsidRPr="00154A79">
        <w:rPr>
          <w:rFonts w:ascii="Times New Roman" w:hAnsi="Times New Roman"/>
          <w:szCs w:val="24"/>
        </w:rPr>
        <w:t>ten Hemmsch</w:t>
      </w:r>
      <w:r w:rsidRPr="00154A79">
        <w:rPr>
          <w:rFonts w:ascii="Times New Roman" w:hAnsi="Times New Roman"/>
          <w:szCs w:val="24"/>
        </w:rPr>
        <w:t xml:space="preserve">welle erst ab einer um 10% erhöhten BAK, also bzgl. des § 20 StGB ab </w:t>
      </w:r>
      <w:r w:rsidRPr="00154A79">
        <w:rPr>
          <w:rFonts w:ascii="Times New Roman" w:hAnsi="Times New Roman"/>
          <w:szCs w:val="24"/>
        </w:rPr>
        <w:lastRenderedPageBreak/>
        <w:t>3,3</w:t>
      </w:r>
      <w:r w:rsidR="0039590E">
        <w:rPr>
          <w:rFonts w:ascii="Times New Roman" w:hAnsi="Times New Roman"/>
          <w:szCs w:val="24"/>
        </w:rPr>
        <w:t>‰</w:t>
      </w:r>
      <w:r w:rsidRPr="00154A79">
        <w:rPr>
          <w:rFonts w:ascii="Times New Roman" w:hAnsi="Times New Roman"/>
          <w:position w:val="-4"/>
          <w:szCs w:val="24"/>
        </w:rPr>
        <w:t>,</w:t>
      </w:r>
      <w:r w:rsidRPr="00154A79">
        <w:rPr>
          <w:rFonts w:ascii="Times New Roman" w:hAnsi="Times New Roman"/>
          <w:szCs w:val="24"/>
        </w:rPr>
        <w:t xml:space="preserve"> bzw. ab 2,2</w:t>
      </w:r>
      <w:r w:rsidR="0039590E">
        <w:rPr>
          <w:rFonts w:ascii="Times New Roman" w:hAnsi="Times New Roman"/>
          <w:szCs w:val="24"/>
        </w:rPr>
        <w:t>‰</w:t>
      </w:r>
      <w:r w:rsidRPr="00154A79">
        <w:rPr>
          <w:rFonts w:ascii="Times New Roman" w:hAnsi="Times New Roman"/>
          <w:position w:val="-4"/>
          <w:szCs w:val="24"/>
        </w:rPr>
        <w:t xml:space="preserve"> </w:t>
      </w:r>
      <w:r w:rsidRPr="00154A79">
        <w:rPr>
          <w:rFonts w:ascii="Times New Roman" w:hAnsi="Times New Roman"/>
          <w:szCs w:val="24"/>
        </w:rPr>
        <w:t>bei § 21 StGB</w:t>
      </w:r>
      <w:r w:rsidRPr="00154A79">
        <w:rPr>
          <w:rStyle w:val="Funotenzeichen"/>
          <w:rFonts w:ascii="Times New Roman" w:hAnsi="Times New Roman"/>
          <w:szCs w:val="24"/>
        </w:rPr>
        <w:footnoteReference w:id="72"/>
      </w:r>
      <w:r w:rsidRPr="00154A79">
        <w:rPr>
          <w:rFonts w:ascii="Times New Roman" w:hAnsi="Times New Roman"/>
          <w:szCs w:val="24"/>
        </w:rPr>
        <w:t>. Zwar hat</w:t>
      </w:r>
      <w:r w:rsidR="0039590E">
        <w:rPr>
          <w:rFonts w:ascii="Times New Roman" w:hAnsi="Times New Roman"/>
          <w:szCs w:val="24"/>
        </w:rPr>
        <w:t xml:space="preserve"> der BGH </w:t>
      </w:r>
      <w:proofErr w:type="spellStart"/>
      <w:r w:rsidR="0039590E">
        <w:rPr>
          <w:rFonts w:ascii="Times New Roman" w:hAnsi="Times New Roman"/>
          <w:szCs w:val="24"/>
        </w:rPr>
        <w:t>jüngstens</w:t>
      </w:r>
      <w:proofErr w:type="spellEnd"/>
      <w:r w:rsidR="0039590E">
        <w:rPr>
          <w:rFonts w:ascii="Times New Roman" w:hAnsi="Times New Roman"/>
          <w:szCs w:val="24"/>
        </w:rPr>
        <w:t xml:space="preserve"> entgegen sei</w:t>
      </w:r>
      <w:r w:rsidRPr="00154A79">
        <w:rPr>
          <w:rFonts w:ascii="Times New Roman" w:hAnsi="Times New Roman"/>
          <w:szCs w:val="24"/>
        </w:rPr>
        <w:t>ner früheren Rechtsprechung nunmehr bezüglich des Wertes von 2</w:t>
      </w:r>
      <w:r w:rsidR="0039590E">
        <w:rPr>
          <w:rFonts w:ascii="Times New Roman" w:hAnsi="Times New Roman"/>
          <w:szCs w:val="24"/>
        </w:rPr>
        <w:t>‰</w:t>
      </w:r>
      <w:r w:rsidR="0039590E">
        <w:rPr>
          <w:rFonts w:ascii="Times New Roman" w:hAnsi="Times New Roman"/>
          <w:szCs w:val="24"/>
        </w:rPr>
        <w:t xml:space="preserve"> ausdrück</w:t>
      </w:r>
      <w:r w:rsidRPr="00154A79">
        <w:rPr>
          <w:rFonts w:ascii="Times New Roman" w:hAnsi="Times New Roman"/>
          <w:szCs w:val="24"/>
        </w:rPr>
        <w:t xml:space="preserve">lich klargestellt, dass es </w:t>
      </w:r>
      <w:r w:rsidRPr="00154A79">
        <w:rPr>
          <w:rFonts w:ascii="Times New Roman" w:hAnsi="Times New Roman"/>
          <w:szCs w:val="24"/>
        </w:rPr>
        <w:t>sich insoweit nicht um einen medizinisch-statistischen Erfah</w:t>
      </w:r>
      <w:r w:rsidRPr="00154A79">
        <w:rPr>
          <w:rFonts w:ascii="Times New Roman" w:hAnsi="Times New Roman"/>
          <w:szCs w:val="24"/>
        </w:rPr>
        <w:t>rungssatz handele, der allein es gebiete, einen schweren und nach § 21 StGB be</w:t>
      </w:r>
      <w:r w:rsidRPr="00154A79">
        <w:rPr>
          <w:rFonts w:ascii="Times New Roman" w:hAnsi="Times New Roman"/>
          <w:szCs w:val="24"/>
        </w:rPr>
        <w:t>achtlichen Rausch anzunehmen</w:t>
      </w:r>
      <w:r w:rsidRPr="00154A79">
        <w:rPr>
          <w:rStyle w:val="Funotenzeichen"/>
          <w:rFonts w:ascii="Times New Roman" w:hAnsi="Times New Roman"/>
          <w:szCs w:val="24"/>
        </w:rPr>
        <w:footnoteReference w:id="73"/>
      </w:r>
      <w:r w:rsidRPr="00154A79">
        <w:rPr>
          <w:rFonts w:ascii="Times New Roman" w:hAnsi="Times New Roman"/>
          <w:szCs w:val="24"/>
        </w:rPr>
        <w:t>, aber die Indizwirkung für eine nähere Prüfung der Schuldfähigkeit ist damit nicht ent</w:t>
      </w:r>
      <w:r w:rsidRPr="00154A79">
        <w:rPr>
          <w:rFonts w:ascii="Times New Roman" w:hAnsi="Times New Roman"/>
          <w:szCs w:val="24"/>
        </w:rPr>
        <w:t>fallen</w:t>
      </w:r>
      <w:r w:rsidRPr="00154A79">
        <w:rPr>
          <w:rStyle w:val="Funotenzeichen"/>
          <w:rFonts w:ascii="Times New Roman" w:hAnsi="Times New Roman"/>
          <w:szCs w:val="24"/>
        </w:rPr>
        <w:footnoteReference w:id="74"/>
      </w:r>
      <w:r w:rsidRPr="00154A79">
        <w:rPr>
          <w:rFonts w:ascii="Times New Roman" w:hAnsi="Times New Roman"/>
          <w:szCs w:val="24"/>
        </w:rPr>
        <w:t>.</w:t>
      </w:r>
    </w:p>
    <w:p w:rsidR="00000000" w:rsidRPr="00154A79" w:rsidRDefault="00046A2F" w:rsidP="0039590E">
      <w:pPr>
        <w:spacing w:before="120" w:line="360" w:lineRule="auto"/>
        <w:jc w:val="both"/>
        <w:rPr>
          <w:rFonts w:ascii="Times New Roman" w:hAnsi="Times New Roman"/>
          <w:szCs w:val="24"/>
        </w:rPr>
      </w:pPr>
      <w:r w:rsidRPr="00154A79">
        <w:rPr>
          <w:rFonts w:ascii="Times New Roman" w:hAnsi="Times New Roman"/>
          <w:szCs w:val="24"/>
        </w:rPr>
        <w:t>Damit allein ist jedoch noch nicht viel gewonnen, denn gerade Alkohol wirkt vielfach mit anderen Faktoren zusammen, so dass selbst eine weitaus niedrigere BAK als 3</w:t>
      </w:r>
      <w:r w:rsidR="0039590E">
        <w:rPr>
          <w:rFonts w:ascii="Times New Roman" w:hAnsi="Times New Roman"/>
          <w:szCs w:val="24"/>
        </w:rPr>
        <w:t>‰</w:t>
      </w:r>
      <w:r w:rsidRPr="00154A79">
        <w:rPr>
          <w:rFonts w:ascii="Times New Roman" w:hAnsi="Times New Roman"/>
          <w:szCs w:val="24"/>
        </w:rPr>
        <w:t xml:space="preserve"> bzw. 2</w:t>
      </w:r>
      <w:r w:rsidR="0039590E">
        <w:rPr>
          <w:rFonts w:ascii="Times New Roman" w:hAnsi="Times New Roman"/>
          <w:szCs w:val="24"/>
        </w:rPr>
        <w:t>‰</w:t>
      </w:r>
      <w:r w:rsidRPr="00154A79">
        <w:rPr>
          <w:rFonts w:ascii="Times New Roman" w:hAnsi="Times New Roman"/>
          <w:szCs w:val="24"/>
        </w:rPr>
        <w:t xml:space="preserve"> für die Prüfung der Schuldfähigkeit nicht schlechterdings bedeutung</w:t>
      </w:r>
      <w:r w:rsidRPr="00154A79">
        <w:rPr>
          <w:rFonts w:ascii="Times New Roman" w:hAnsi="Times New Roman"/>
          <w:szCs w:val="24"/>
        </w:rPr>
        <w:t>s</w:t>
      </w:r>
      <w:r w:rsidRPr="00154A79">
        <w:rPr>
          <w:rFonts w:ascii="Times New Roman" w:hAnsi="Times New Roman"/>
          <w:szCs w:val="24"/>
        </w:rPr>
        <w:t xml:space="preserve">los ist. So ist es z.B. leicht nachvollziehbar, dass eine leichte Form des Schwachsinns für sich allein vielleicht noch nicht einmal die Verminderung der </w:t>
      </w:r>
      <w:proofErr w:type="spellStart"/>
      <w:r w:rsidRPr="00154A79">
        <w:rPr>
          <w:rFonts w:ascii="Times New Roman" w:hAnsi="Times New Roman"/>
          <w:szCs w:val="24"/>
        </w:rPr>
        <w:t>Schuldfähikgeit</w:t>
      </w:r>
      <w:proofErr w:type="spellEnd"/>
      <w:r w:rsidRPr="00154A79">
        <w:rPr>
          <w:rFonts w:ascii="Times New Roman" w:hAnsi="Times New Roman"/>
          <w:szCs w:val="24"/>
        </w:rPr>
        <w:t xml:space="preserve"> ver</w:t>
      </w:r>
      <w:r w:rsidRPr="00154A79">
        <w:rPr>
          <w:rFonts w:ascii="Times New Roman" w:hAnsi="Times New Roman"/>
          <w:szCs w:val="24"/>
        </w:rPr>
        <w:t>ur</w:t>
      </w:r>
      <w:r w:rsidRPr="00154A79">
        <w:rPr>
          <w:rFonts w:ascii="Times New Roman" w:hAnsi="Times New Roman"/>
          <w:szCs w:val="24"/>
        </w:rPr>
        <w:t xml:space="preserve">sacht, sondern dass dies erst durch die hinzukommende Beeinträchtigung durch </w:t>
      </w:r>
      <w:r w:rsidRPr="00154A79">
        <w:rPr>
          <w:rFonts w:ascii="Times New Roman" w:hAnsi="Times New Roman"/>
          <w:szCs w:val="24"/>
        </w:rPr>
        <w:t xml:space="preserve">den Alkoholkonsum bewirkt wird. </w:t>
      </w:r>
    </w:p>
    <w:p w:rsidR="00046A2F" w:rsidRDefault="00046A2F" w:rsidP="00046A2F">
      <w:pPr>
        <w:spacing w:before="120" w:line="360" w:lineRule="auto"/>
        <w:jc w:val="both"/>
        <w:rPr>
          <w:rFonts w:ascii="Times New Roman" w:hAnsi="Times New Roman"/>
          <w:szCs w:val="24"/>
        </w:rPr>
      </w:pPr>
      <w:r w:rsidRPr="00154A79">
        <w:rPr>
          <w:rFonts w:ascii="Times New Roman" w:hAnsi="Times New Roman"/>
          <w:szCs w:val="24"/>
        </w:rPr>
        <w:t xml:space="preserve">Derartiges wie auch zahlreiche weitere sog. „Indizien“, die eine genauere Prüfung der </w:t>
      </w:r>
      <w:proofErr w:type="spellStart"/>
      <w:r w:rsidRPr="00154A79">
        <w:rPr>
          <w:rFonts w:ascii="Times New Roman" w:hAnsi="Times New Roman"/>
          <w:szCs w:val="24"/>
        </w:rPr>
        <w:t>Schuldähigkeit</w:t>
      </w:r>
      <w:proofErr w:type="spellEnd"/>
      <w:r w:rsidRPr="00154A79">
        <w:rPr>
          <w:rFonts w:ascii="Times New Roman" w:hAnsi="Times New Roman"/>
          <w:szCs w:val="24"/>
        </w:rPr>
        <w:t xml:space="preserve"> angezeigt sein lassen, sind zwar in großer Menge in der ein</w:t>
      </w:r>
      <w:r w:rsidRPr="00154A79">
        <w:rPr>
          <w:rFonts w:ascii="Times New Roman" w:hAnsi="Times New Roman"/>
          <w:szCs w:val="24"/>
        </w:rPr>
        <w:t>schlägi</w:t>
      </w:r>
      <w:r w:rsidRPr="00154A79">
        <w:rPr>
          <w:rFonts w:ascii="Times New Roman" w:hAnsi="Times New Roman"/>
          <w:szCs w:val="24"/>
        </w:rPr>
        <w:t>gen Kommentarliteratur zusammengetragen. Doch nur der</w:t>
      </w:r>
      <w:r w:rsidRPr="00154A79">
        <w:rPr>
          <w:rFonts w:ascii="Times New Roman" w:hAnsi="Times New Roman"/>
          <w:szCs w:val="24"/>
        </w:rPr>
        <w:t>jenige wird sich veranlaßt sehen, dort nachzuschlagen und ggf. eine Begutachtung einzufordern, der bereits über profunde Kenntnisse in den Bereichen der For</w:t>
      </w:r>
      <w:r>
        <w:rPr>
          <w:rFonts w:ascii="Times New Roman" w:hAnsi="Times New Roman"/>
          <w:szCs w:val="24"/>
        </w:rPr>
        <w:t>ensik und der Kriminologie ver</w:t>
      </w:r>
      <w:r w:rsidRPr="00154A79">
        <w:rPr>
          <w:rFonts w:ascii="Times New Roman" w:hAnsi="Times New Roman"/>
          <w:szCs w:val="24"/>
        </w:rPr>
        <w:t xml:space="preserve">fügt. </w:t>
      </w:r>
    </w:p>
    <w:p w:rsidR="00046A2F" w:rsidRPr="00046A2F" w:rsidRDefault="00046A2F" w:rsidP="00046A2F">
      <w:pPr>
        <w:spacing w:before="240" w:line="360" w:lineRule="auto"/>
        <w:jc w:val="center"/>
        <w:rPr>
          <w:rFonts w:ascii="Times New Roman" w:hAnsi="Times New Roman"/>
          <w:i/>
          <w:szCs w:val="24"/>
        </w:rPr>
      </w:pPr>
      <w:r w:rsidRPr="00046A2F">
        <w:rPr>
          <w:rFonts w:ascii="Times New Roman" w:hAnsi="Times New Roman"/>
          <w:i/>
          <w:szCs w:val="24"/>
          <w:highlight w:val="lightGray"/>
        </w:rPr>
        <w:t>Jura 2001, 382</w:t>
      </w:r>
    </w:p>
    <w:p w:rsidR="00000000" w:rsidRPr="00154A79" w:rsidRDefault="00046A2F" w:rsidP="00046A2F">
      <w:pPr>
        <w:spacing w:before="120" w:line="360" w:lineRule="auto"/>
        <w:jc w:val="both"/>
        <w:rPr>
          <w:rFonts w:ascii="Times New Roman" w:hAnsi="Times New Roman"/>
          <w:szCs w:val="24"/>
        </w:rPr>
      </w:pPr>
      <w:r w:rsidRPr="00154A79">
        <w:rPr>
          <w:rFonts w:ascii="Times New Roman" w:hAnsi="Times New Roman"/>
          <w:szCs w:val="24"/>
        </w:rPr>
        <w:t>Wie sonst sollte man darauf kommen, dass Ersttaten im Alter un</w:t>
      </w:r>
      <w:r>
        <w:rPr>
          <w:rFonts w:ascii="Times New Roman" w:hAnsi="Times New Roman"/>
          <w:szCs w:val="24"/>
        </w:rPr>
        <w:t>gewöhn</w:t>
      </w:r>
      <w:r w:rsidRPr="00154A79">
        <w:rPr>
          <w:rFonts w:ascii="Times New Roman" w:hAnsi="Times New Roman"/>
          <w:szCs w:val="24"/>
        </w:rPr>
        <w:t>lich sind und möglicherweise auf eine Demenz deuten</w:t>
      </w:r>
      <w:r w:rsidRPr="00154A79">
        <w:rPr>
          <w:rStyle w:val="Funotenzeichen"/>
          <w:rFonts w:ascii="Times New Roman" w:hAnsi="Times New Roman"/>
          <w:szCs w:val="24"/>
        </w:rPr>
        <w:footnoteReference w:id="75"/>
      </w:r>
      <w:r>
        <w:rPr>
          <w:rFonts w:ascii="Times New Roman" w:hAnsi="Times New Roman"/>
          <w:szCs w:val="24"/>
        </w:rPr>
        <w:t>, oder dass der auch im Volks</w:t>
      </w:r>
      <w:r w:rsidRPr="00154A79">
        <w:rPr>
          <w:rFonts w:ascii="Times New Roman" w:hAnsi="Times New Roman"/>
          <w:szCs w:val="24"/>
        </w:rPr>
        <w:t>mund so vielzitierte Eifersuchtswahn eine Palette aufweist</w:t>
      </w:r>
      <w:r>
        <w:rPr>
          <w:rFonts w:ascii="Times New Roman" w:hAnsi="Times New Roman"/>
          <w:szCs w:val="24"/>
        </w:rPr>
        <w:t>, die von der normalpsychologi</w:t>
      </w:r>
      <w:r w:rsidRPr="00154A79">
        <w:rPr>
          <w:rFonts w:ascii="Times New Roman" w:hAnsi="Times New Roman"/>
          <w:szCs w:val="24"/>
        </w:rPr>
        <w:t>schen Erscheinung über eine Persönlichkeitsstörung bis hin zur hochgradigen u</w:t>
      </w:r>
      <w:r w:rsidRPr="00154A79">
        <w:rPr>
          <w:rFonts w:ascii="Times New Roman" w:hAnsi="Times New Roman"/>
          <w:szCs w:val="24"/>
        </w:rPr>
        <w:t>nd dann forensisch überaus relevanten Paranoia reichen kann</w:t>
      </w:r>
      <w:r w:rsidRPr="00154A79">
        <w:rPr>
          <w:rStyle w:val="Funotenzeichen"/>
          <w:rFonts w:ascii="Times New Roman" w:hAnsi="Times New Roman"/>
          <w:szCs w:val="24"/>
        </w:rPr>
        <w:footnoteReference w:id="76"/>
      </w:r>
      <w:r w:rsidRPr="00154A79">
        <w:rPr>
          <w:rFonts w:ascii="Times New Roman" w:hAnsi="Times New Roman"/>
          <w:szCs w:val="24"/>
        </w:rPr>
        <w:t xml:space="preserve">? </w:t>
      </w:r>
    </w:p>
    <w:p w:rsidR="00000000" w:rsidRPr="00154A79" w:rsidRDefault="00046A2F" w:rsidP="00046A2F">
      <w:pPr>
        <w:spacing w:before="120" w:line="360" w:lineRule="auto"/>
        <w:jc w:val="both"/>
        <w:rPr>
          <w:rFonts w:ascii="Times New Roman" w:hAnsi="Times New Roman"/>
          <w:szCs w:val="24"/>
        </w:rPr>
      </w:pPr>
      <w:r w:rsidRPr="00154A79">
        <w:rPr>
          <w:rFonts w:ascii="Times New Roman" w:hAnsi="Times New Roman"/>
          <w:szCs w:val="24"/>
        </w:rPr>
        <w:t>Wie gesagt, von dem Richter wird nicht erwartet, dass er etwa eine hirnorganische Störung oder einen Affekt selbst diagnostizieren oder gar den Schwachsinn anhand von Intelligenztests selbst fe</w:t>
      </w:r>
      <w:r w:rsidRPr="00154A79">
        <w:rPr>
          <w:rFonts w:ascii="Times New Roman" w:hAnsi="Times New Roman"/>
          <w:szCs w:val="24"/>
        </w:rPr>
        <w:t>ststellen kann, er muß aber immerhin fähig sein, eine Art von „Verdachtsdiagnose“ darüber zu stellen, ob die Schuldfähigkeit in Frage steht. Sofern sich aus den Akten ergibt, dass der Täter bereits zuvor einmal oder mehrfach strafrechtlich begutachtet wurd</w:t>
      </w:r>
      <w:r w:rsidRPr="00154A79">
        <w:rPr>
          <w:rFonts w:ascii="Times New Roman" w:hAnsi="Times New Roman"/>
          <w:szCs w:val="24"/>
        </w:rPr>
        <w:t>e oder sonst wegen psychischer Erkrankungen in Be</w:t>
      </w:r>
      <w:r w:rsidRPr="00154A79">
        <w:rPr>
          <w:rFonts w:ascii="Times New Roman" w:hAnsi="Times New Roman"/>
          <w:szCs w:val="24"/>
        </w:rPr>
        <w:t>handlung war bzw. ist, ist die Notwendigkeit einer erneuten Begutachtung offenkun</w:t>
      </w:r>
      <w:r w:rsidRPr="00154A79">
        <w:rPr>
          <w:rFonts w:ascii="Times New Roman" w:hAnsi="Times New Roman"/>
          <w:szCs w:val="24"/>
        </w:rPr>
        <w:t>dig</w:t>
      </w:r>
      <w:r w:rsidRPr="00154A79">
        <w:rPr>
          <w:rStyle w:val="Funotenzeichen"/>
          <w:rFonts w:ascii="Times New Roman" w:hAnsi="Times New Roman"/>
          <w:szCs w:val="24"/>
        </w:rPr>
        <w:footnoteReference w:id="77"/>
      </w:r>
      <w:r w:rsidRPr="00154A79">
        <w:rPr>
          <w:rFonts w:ascii="Times New Roman" w:hAnsi="Times New Roman"/>
          <w:szCs w:val="24"/>
        </w:rPr>
        <w:t>. In den übrigen Fällen bleibt nur der Blick auf die Tat und die Persönlichkeit des Täters. In diesem Zusammenhang kommt</w:t>
      </w:r>
      <w:r w:rsidRPr="00154A79">
        <w:rPr>
          <w:rFonts w:ascii="Times New Roman" w:hAnsi="Times New Roman"/>
          <w:szCs w:val="24"/>
        </w:rPr>
        <w:t xml:space="preserve"> den psychiatrischen </w:t>
      </w:r>
      <w:r w:rsidRPr="00154A79">
        <w:rPr>
          <w:rFonts w:ascii="Times New Roman" w:hAnsi="Times New Roman"/>
          <w:szCs w:val="24"/>
        </w:rPr>
        <w:lastRenderedPageBreak/>
        <w:t>Diagnoseschlüsseln und Klassifikationssystemen, von denen der ICD-10</w:t>
      </w:r>
      <w:r w:rsidRPr="00154A79">
        <w:rPr>
          <w:rStyle w:val="Funotenzeichen"/>
          <w:rFonts w:ascii="Times New Roman" w:hAnsi="Times New Roman"/>
          <w:szCs w:val="24"/>
        </w:rPr>
        <w:footnoteReference w:id="78"/>
      </w:r>
      <w:r w:rsidRPr="00154A79">
        <w:rPr>
          <w:rFonts w:ascii="Times New Roman" w:hAnsi="Times New Roman"/>
          <w:szCs w:val="24"/>
        </w:rPr>
        <w:t xml:space="preserve"> </w:t>
      </w:r>
      <w:r w:rsidRPr="00154A79">
        <w:rPr>
          <w:rFonts w:ascii="Times New Roman" w:hAnsi="Times New Roman"/>
          <w:szCs w:val="24"/>
        </w:rPr>
        <w:t>am bekanntesten und ge</w:t>
      </w:r>
      <w:r w:rsidRPr="00154A79">
        <w:rPr>
          <w:rFonts w:ascii="Times New Roman" w:hAnsi="Times New Roman"/>
          <w:szCs w:val="24"/>
        </w:rPr>
        <w:t>bräuchlichsten ist, enorme Bedeutung zu</w:t>
      </w:r>
      <w:r w:rsidRPr="00154A79">
        <w:rPr>
          <w:rStyle w:val="Funotenzeichen"/>
          <w:rFonts w:ascii="Times New Roman" w:hAnsi="Times New Roman"/>
          <w:szCs w:val="24"/>
        </w:rPr>
        <w:footnoteReference w:id="79"/>
      </w:r>
      <w:r w:rsidRPr="00154A79">
        <w:rPr>
          <w:rFonts w:ascii="Times New Roman" w:hAnsi="Times New Roman"/>
          <w:szCs w:val="24"/>
        </w:rPr>
        <w:t>. Hierin werden die für einen Defekt typi</w:t>
      </w:r>
      <w:r w:rsidRPr="00154A79">
        <w:rPr>
          <w:rFonts w:ascii="Times New Roman" w:hAnsi="Times New Roman"/>
          <w:szCs w:val="24"/>
        </w:rPr>
        <w:t>schen Verhaltensweisen und Symptome beschrieben, so dass si</w:t>
      </w:r>
      <w:r w:rsidRPr="00154A79">
        <w:rPr>
          <w:rFonts w:ascii="Times New Roman" w:hAnsi="Times New Roman"/>
          <w:szCs w:val="24"/>
        </w:rPr>
        <w:t>ch dem selbst ent</w:t>
      </w:r>
      <w:r w:rsidRPr="00154A79">
        <w:rPr>
          <w:rFonts w:ascii="Times New Roman" w:hAnsi="Times New Roman"/>
          <w:szCs w:val="24"/>
        </w:rPr>
        <w:t xml:space="preserve">nehmen </w:t>
      </w:r>
      <w:proofErr w:type="spellStart"/>
      <w:r w:rsidRPr="00154A79">
        <w:rPr>
          <w:rFonts w:ascii="Times New Roman" w:hAnsi="Times New Roman"/>
          <w:szCs w:val="24"/>
        </w:rPr>
        <w:t>läßt</w:t>
      </w:r>
      <w:proofErr w:type="spellEnd"/>
      <w:r w:rsidRPr="00154A79">
        <w:rPr>
          <w:rFonts w:ascii="Times New Roman" w:hAnsi="Times New Roman"/>
          <w:szCs w:val="24"/>
        </w:rPr>
        <w:t>, welches die Anzeichen für das sog. pathologische Glücksspiel (sog. Spielsucht) sind. Man kann und sollte sich daher anhand dieser diagnostischen Kri</w:t>
      </w:r>
      <w:r w:rsidRPr="00154A79">
        <w:rPr>
          <w:rFonts w:ascii="Times New Roman" w:hAnsi="Times New Roman"/>
          <w:szCs w:val="24"/>
        </w:rPr>
        <w:t xml:space="preserve">terien ein erstes Bild </w:t>
      </w:r>
      <w:proofErr w:type="gramStart"/>
      <w:r w:rsidRPr="00154A79">
        <w:rPr>
          <w:rFonts w:ascii="Times New Roman" w:hAnsi="Times New Roman"/>
          <w:szCs w:val="24"/>
        </w:rPr>
        <w:t>darüber machen</w:t>
      </w:r>
      <w:proofErr w:type="gramEnd"/>
      <w:r w:rsidRPr="00154A79">
        <w:rPr>
          <w:rFonts w:ascii="Times New Roman" w:hAnsi="Times New Roman"/>
          <w:szCs w:val="24"/>
        </w:rPr>
        <w:t>, was ggf. für und was gegen eine seeli</w:t>
      </w:r>
      <w:r w:rsidRPr="00154A79">
        <w:rPr>
          <w:rFonts w:ascii="Times New Roman" w:hAnsi="Times New Roman"/>
          <w:szCs w:val="24"/>
        </w:rPr>
        <w:t>sche Störung sprechen könnte. Dies gilt ungeachtet dessen, dass die psychiatrischen Dia</w:t>
      </w:r>
      <w:r w:rsidRPr="00154A79">
        <w:rPr>
          <w:rFonts w:ascii="Times New Roman" w:hAnsi="Times New Roman"/>
          <w:szCs w:val="24"/>
        </w:rPr>
        <w:softHyphen/>
        <w:t>gnosen nicht mit den vier Merkmalen des § 20 StGB deckungsgleich sind, denn maßgebend ist in diesem Zusammenhang allein die unbestrittene Indizwirkung, die der psychiat</w:t>
      </w:r>
      <w:r w:rsidRPr="00154A79">
        <w:rPr>
          <w:rFonts w:ascii="Times New Roman" w:hAnsi="Times New Roman"/>
          <w:szCs w:val="24"/>
        </w:rPr>
        <w:t>rischen Diagnostik zukommt</w:t>
      </w:r>
      <w:r w:rsidRPr="00154A79">
        <w:rPr>
          <w:rStyle w:val="Funotenzeichen"/>
          <w:rFonts w:ascii="Times New Roman" w:hAnsi="Times New Roman"/>
          <w:szCs w:val="24"/>
        </w:rPr>
        <w:footnoteReference w:id="80"/>
      </w:r>
      <w:r w:rsidRPr="00154A79">
        <w:rPr>
          <w:rFonts w:ascii="Times New Roman" w:hAnsi="Times New Roman"/>
          <w:szCs w:val="24"/>
        </w:rPr>
        <w:t>.</w:t>
      </w:r>
    </w:p>
    <w:p w:rsidR="00000000" w:rsidRPr="00154A79" w:rsidRDefault="00046A2F" w:rsidP="00046A2F">
      <w:pPr>
        <w:spacing w:before="120" w:line="360" w:lineRule="auto"/>
        <w:jc w:val="both"/>
        <w:rPr>
          <w:rFonts w:ascii="Times New Roman" w:hAnsi="Times New Roman"/>
          <w:szCs w:val="24"/>
        </w:rPr>
      </w:pPr>
      <w:r w:rsidRPr="00154A79">
        <w:rPr>
          <w:rFonts w:ascii="Times New Roman" w:hAnsi="Times New Roman"/>
          <w:szCs w:val="24"/>
        </w:rPr>
        <w:t xml:space="preserve">Anhand des Affektes </w:t>
      </w:r>
      <w:proofErr w:type="spellStart"/>
      <w:r w:rsidRPr="00154A79">
        <w:rPr>
          <w:rFonts w:ascii="Times New Roman" w:hAnsi="Times New Roman"/>
          <w:szCs w:val="24"/>
        </w:rPr>
        <w:t>läßt</w:t>
      </w:r>
      <w:proofErr w:type="spellEnd"/>
      <w:r w:rsidRPr="00154A79">
        <w:rPr>
          <w:rFonts w:ascii="Times New Roman" w:hAnsi="Times New Roman"/>
          <w:szCs w:val="24"/>
        </w:rPr>
        <w:t xml:space="preserve"> sich dies besonders gut verdeutlichen. Hierfür sind zahlrei</w:t>
      </w:r>
      <w:r w:rsidRPr="00154A79">
        <w:rPr>
          <w:rFonts w:ascii="Times New Roman" w:hAnsi="Times New Roman"/>
          <w:szCs w:val="24"/>
        </w:rPr>
        <w:softHyphen/>
        <w:t xml:space="preserve">che sog. Merkmalskataloge entwickelt worden, die eine Auflistung verschiedener Kriterien enthalten, die für einen Affekt sprechen, und ihnen </w:t>
      </w:r>
      <w:r w:rsidRPr="00154A79">
        <w:rPr>
          <w:rFonts w:ascii="Times New Roman" w:hAnsi="Times New Roman"/>
          <w:szCs w:val="24"/>
        </w:rPr>
        <w:t xml:space="preserve">sind jene Merkmale </w:t>
      </w:r>
      <w:proofErr w:type="spellStart"/>
      <w:r w:rsidRPr="00154A79">
        <w:rPr>
          <w:rFonts w:ascii="Times New Roman" w:hAnsi="Times New Roman"/>
          <w:szCs w:val="24"/>
        </w:rPr>
        <w:t>ge</w:t>
      </w:r>
      <w:r>
        <w:rPr>
          <w:rFonts w:ascii="Times New Roman" w:hAnsi="Times New Roman"/>
          <w:szCs w:val="24"/>
        </w:rPr>
        <w:t>gen</w:t>
      </w:r>
      <w:r w:rsidRPr="00154A79">
        <w:rPr>
          <w:rFonts w:ascii="Times New Roman" w:hAnsi="Times New Roman"/>
          <w:szCs w:val="24"/>
        </w:rPr>
        <w:t>übgestellt</w:t>
      </w:r>
      <w:proofErr w:type="spellEnd"/>
      <w:r w:rsidRPr="00154A79">
        <w:rPr>
          <w:rFonts w:ascii="Times New Roman" w:hAnsi="Times New Roman"/>
          <w:szCs w:val="24"/>
        </w:rPr>
        <w:t>, die gegen einen Affekt sprechen</w:t>
      </w:r>
      <w:r w:rsidRPr="00154A79">
        <w:rPr>
          <w:rStyle w:val="Funotenzeichen"/>
          <w:rFonts w:ascii="Times New Roman" w:hAnsi="Times New Roman"/>
          <w:szCs w:val="24"/>
        </w:rPr>
        <w:footnoteReference w:id="81"/>
      </w:r>
      <w:r w:rsidRPr="00154A79">
        <w:rPr>
          <w:rFonts w:ascii="Times New Roman" w:hAnsi="Times New Roman"/>
          <w:szCs w:val="24"/>
        </w:rPr>
        <w:t>. Natürlich kann ein Affekt weder dia</w:t>
      </w:r>
      <w:r w:rsidRPr="00154A79">
        <w:rPr>
          <w:rFonts w:ascii="Times New Roman" w:hAnsi="Times New Roman"/>
          <w:szCs w:val="24"/>
        </w:rPr>
        <w:t xml:space="preserve">gnostiziert noch ausgeschlossen werden, indem man </w:t>
      </w:r>
      <w:r>
        <w:rPr>
          <w:rFonts w:ascii="Times New Roman" w:hAnsi="Times New Roman"/>
          <w:szCs w:val="24"/>
        </w:rPr>
        <w:t>diese Kriterien einfach „abklap</w:t>
      </w:r>
      <w:r w:rsidRPr="00154A79">
        <w:rPr>
          <w:rFonts w:ascii="Times New Roman" w:hAnsi="Times New Roman"/>
          <w:szCs w:val="24"/>
        </w:rPr>
        <w:t>pert“. Wenn das Gericht aber erkennt, dass sich der einer Tötung e</w:t>
      </w:r>
      <w:r w:rsidRPr="00154A79">
        <w:rPr>
          <w:rFonts w:ascii="Times New Roman" w:hAnsi="Times New Roman"/>
          <w:szCs w:val="24"/>
        </w:rPr>
        <w:t>ines wild</w:t>
      </w:r>
      <w:r w:rsidRPr="00154A79">
        <w:rPr>
          <w:rFonts w:ascii="Times New Roman" w:hAnsi="Times New Roman"/>
          <w:szCs w:val="24"/>
        </w:rPr>
        <w:t>fremden Menschen Angeklagte, die er aus Wut und Enttäuschung über seine Freundin begangen haben soll, „den Tatentschluss innerhalb von Sekunden gefaßt hat“ und sich „in einem „durch Erregung, Alkoholbeeinflussung und Übernächtigung gekennzeichne</w:t>
      </w:r>
      <w:r w:rsidRPr="00154A79">
        <w:rPr>
          <w:rFonts w:ascii="Times New Roman" w:hAnsi="Times New Roman"/>
          <w:szCs w:val="24"/>
        </w:rPr>
        <w:t xml:space="preserve">ten, außergewöhnlichen psychischen Zustand befand“, dann hat es auch weiter zu fragen, ob möglicherweise eine affektbedingte </w:t>
      </w:r>
      <w:proofErr w:type="spellStart"/>
      <w:r w:rsidRPr="00154A79">
        <w:rPr>
          <w:rFonts w:ascii="Times New Roman" w:hAnsi="Times New Roman"/>
          <w:szCs w:val="24"/>
        </w:rPr>
        <w:t>tiegreifende</w:t>
      </w:r>
      <w:proofErr w:type="spellEnd"/>
      <w:r w:rsidRPr="00154A79">
        <w:rPr>
          <w:rFonts w:ascii="Times New Roman" w:hAnsi="Times New Roman"/>
          <w:szCs w:val="24"/>
        </w:rPr>
        <w:t xml:space="preserve"> </w:t>
      </w:r>
      <w:proofErr w:type="spellStart"/>
      <w:r w:rsidRPr="00154A79">
        <w:rPr>
          <w:rFonts w:ascii="Times New Roman" w:hAnsi="Times New Roman"/>
          <w:szCs w:val="24"/>
        </w:rPr>
        <w:t>Bewußt</w:t>
      </w:r>
      <w:r w:rsidRPr="00154A79">
        <w:rPr>
          <w:rFonts w:ascii="Times New Roman" w:hAnsi="Times New Roman"/>
          <w:szCs w:val="24"/>
        </w:rPr>
        <w:t>seinsstörung</w:t>
      </w:r>
      <w:proofErr w:type="spellEnd"/>
      <w:r w:rsidRPr="00154A79">
        <w:rPr>
          <w:rFonts w:ascii="Times New Roman" w:hAnsi="Times New Roman"/>
          <w:szCs w:val="24"/>
        </w:rPr>
        <w:t xml:space="preserve"> vorlag</w:t>
      </w:r>
      <w:r w:rsidRPr="00154A79">
        <w:rPr>
          <w:rStyle w:val="Funotenzeichen"/>
          <w:rFonts w:ascii="Times New Roman" w:hAnsi="Times New Roman"/>
          <w:szCs w:val="24"/>
        </w:rPr>
        <w:footnoteReference w:id="82"/>
      </w:r>
      <w:r w:rsidRPr="00154A79">
        <w:rPr>
          <w:rFonts w:ascii="Times New Roman" w:hAnsi="Times New Roman"/>
          <w:szCs w:val="24"/>
        </w:rPr>
        <w:t>. Dies ergibt sich nicht zuletzt daraus, dass der bekannte und auch in der Rechtsprechung z</w:t>
      </w:r>
      <w:r w:rsidRPr="00154A79">
        <w:rPr>
          <w:rFonts w:ascii="Times New Roman" w:hAnsi="Times New Roman"/>
          <w:szCs w:val="24"/>
        </w:rPr>
        <w:t>itierte</w:t>
      </w:r>
      <w:r w:rsidRPr="00154A79">
        <w:rPr>
          <w:rStyle w:val="Funotenzeichen"/>
          <w:rFonts w:ascii="Times New Roman" w:hAnsi="Times New Roman"/>
          <w:szCs w:val="24"/>
        </w:rPr>
        <w:footnoteReference w:id="83"/>
      </w:r>
      <w:r w:rsidRPr="00154A79">
        <w:rPr>
          <w:rFonts w:ascii="Times New Roman" w:hAnsi="Times New Roman"/>
          <w:szCs w:val="24"/>
        </w:rPr>
        <w:t xml:space="preserve"> Katalog von </w:t>
      </w:r>
      <w:r w:rsidRPr="00154A79">
        <w:rPr>
          <w:rFonts w:ascii="Times New Roman" w:hAnsi="Times New Roman"/>
          <w:szCs w:val="24"/>
        </w:rPr>
        <w:t>Saß</w:t>
      </w:r>
      <w:r w:rsidRPr="00154A79">
        <w:rPr>
          <w:rFonts w:ascii="Times New Roman" w:hAnsi="Times New Roman"/>
          <w:szCs w:val="24"/>
        </w:rPr>
        <w:t xml:space="preserve"> unter an</w:t>
      </w:r>
      <w:r>
        <w:rPr>
          <w:rFonts w:ascii="Times New Roman" w:hAnsi="Times New Roman"/>
          <w:szCs w:val="24"/>
        </w:rPr>
        <w:t>derem die für einen Affekt spre</w:t>
      </w:r>
      <w:r w:rsidRPr="00154A79">
        <w:rPr>
          <w:rFonts w:ascii="Times New Roman" w:hAnsi="Times New Roman"/>
          <w:szCs w:val="24"/>
        </w:rPr>
        <w:t xml:space="preserve">chenden </w:t>
      </w:r>
      <w:proofErr w:type="gramStart"/>
      <w:r w:rsidRPr="00154A79">
        <w:rPr>
          <w:rFonts w:ascii="Times New Roman" w:hAnsi="Times New Roman"/>
          <w:szCs w:val="24"/>
        </w:rPr>
        <w:t>Kriterien  „</w:t>
      </w:r>
      <w:proofErr w:type="gramEnd"/>
      <w:r w:rsidRPr="00154A79">
        <w:rPr>
          <w:rFonts w:ascii="Times New Roman" w:hAnsi="Times New Roman"/>
          <w:szCs w:val="24"/>
        </w:rPr>
        <w:t>Alkohol“, „abrupter, elementarer Tatablauf ohne Si</w:t>
      </w:r>
      <w:r w:rsidRPr="00154A79">
        <w:rPr>
          <w:rFonts w:ascii="Times New Roman" w:hAnsi="Times New Roman"/>
          <w:szCs w:val="24"/>
        </w:rPr>
        <w:t>cherungsten</w:t>
      </w:r>
      <w:r w:rsidRPr="00154A79">
        <w:rPr>
          <w:rFonts w:ascii="Times New Roman" w:hAnsi="Times New Roman"/>
          <w:szCs w:val="24"/>
        </w:rPr>
        <w:t>denzen“, „Einengung des Wahrnehmungsfeldes“ un</w:t>
      </w:r>
      <w:r>
        <w:rPr>
          <w:rFonts w:ascii="Times New Roman" w:hAnsi="Times New Roman"/>
          <w:szCs w:val="24"/>
        </w:rPr>
        <w:t>d „</w:t>
      </w:r>
      <w:proofErr w:type="spellStart"/>
      <w:r>
        <w:rPr>
          <w:rFonts w:ascii="Times New Roman" w:hAnsi="Times New Roman"/>
          <w:szCs w:val="24"/>
        </w:rPr>
        <w:t>Mißverhältnis</w:t>
      </w:r>
      <w:proofErr w:type="spellEnd"/>
      <w:r>
        <w:rPr>
          <w:rFonts w:ascii="Times New Roman" w:hAnsi="Times New Roman"/>
          <w:szCs w:val="24"/>
        </w:rPr>
        <w:t xml:space="preserve"> zwischen Tatan</w:t>
      </w:r>
      <w:r w:rsidRPr="00154A79">
        <w:rPr>
          <w:rFonts w:ascii="Times New Roman" w:hAnsi="Times New Roman"/>
          <w:szCs w:val="24"/>
        </w:rPr>
        <w:t>stoß und Reaktion“ enthält</w:t>
      </w:r>
      <w:r w:rsidRPr="00154A79">
        <w:rPr>
          <w:rStyle w:val="Funotenzeichen"/>
          <w:rFonts w:ascii="Times New Roman" w:hAnsi="Times New Roman"/>
          <w:szCs w:val="24"/>
        </w:rPr>
        <w:footnoteReference w:id="84"/>
      </w:r>
      <w:r w:rsidRPr="00154A79">
        <w:rPr>
          <w:rFonts w:ascii="Times New Roman" w:hAnsi="Times New Roman"/>
          <w:szCs w:val="24"/>
        </w:rPr>
        <w:t xml:space="preserve">.  </w:t>
      </w:r>
    </w:p>
    <w:p w:rsidR="00000000" w:rsidRPr="00154A79" w:rsidRDefault="00046A2F" w:rsidP="000C0B71">
      <w:pPr>
        <w:spacing w:before="120" w:line="360" w:lineRule="auto"/>
        <w:jc w:val="both"/>
        <w:rPr>
          <w:rFonts w:ascii="Times New Roman" w:hAnsi="Times New Roman"/>
          <w:b/>
          <w:szCs w:val="24"/>
        </w:rPr>
      </w:pPr>
      <w:r w:rsidRPr="00154A79">
        <w:rPr>
          <w:rFonts w:ascii="Times New Roman" w:hAnsi="Times New Roman"/>
          <w:szCs w:val="24"/>
        </w:rPr>
        <w:t>Mit alledem jedoch noch nicht genug: Auch die psychiatrischen Diagnosekriterien befinden sich ständig in der Weiterentwicklung, und aus dem Umstand, dass eine Stö</w:t>
      </w:r>
      <w:r w:rsidRPr="00154A79">
        <w:rPr>
          <w:rFonts w:ascii="Times New Roman" w:hAnsi="Times New Roman"/>
          <w:szCs w:val="24"/>
        </w:rPr>
        <w:softHyphen/>
        <w:t>rung in den psychiatrischen Klassifikationen (noch) nicht aufgenommen ist, darf nicht automa</w:t>
      </w:r>
      <w:r w:rsidRPr="00154A79">
        <w:rPr>
          <w:rFonts w:ascii="Times New Roman" w:hAnsi="Times New Roman"/>
          <w:szCs w:val="24"/>
        </w:rPr>
        <w:t>tisch geschlussfolgert werden, dass diese Störung für die Schuldfähig</w:t>
      </w:r>
      <w:r w:rsidRPr="00154A79">
        <w:rPr>
          <w:rFonts w:ascii="Times New Roman" w:hAnsi="Times New Roman"/>
          <w:szCs w:val="24"/>
        </w:rPr>
        <w:t>keitsbeur</w:t>
      </w:r>
      <w:r w:rsidRPr="00154A79">
        <w:rPr>
          <w:rFonts w:ascii="Times New Roman" w:hAnsi="Times New Roman"/>
          <w:szCs w:val="24"/>
        </w:rPr>
        <w:t>teilung irrelevant ist</w:t>
      </w:r>
      <w:r w:rsidRPr="00154A79">
        <w:rPr>
          <w:rStyle w:val="Funotenzeichen"/>
          <w:rFonts w:ascii="Times New Roman" w:hAnsi="Times New Roman"/>
          <w:szCs w:val="24"/>
        </w:rPr>
        <w:footnoteReference w:id="85"/>
      </w:r>
      <w:r w:rsidRPr="00154A79">
        <w:rPr>
          <w:rFonts w:ascii="Times New Roman" w:hAnsi="Times New Roman"/>
          <w:szCs w:val="24"/>
        </w:rPr>
        <w:t xml:space="preserve">. </w:t>
      </w:r>
      <w:r w:rsidRPr="00154A79">
        <w:rPr>
          <w:rFonts w:ascii="Times New Roman" w:hAnsi="Times New Roman"/>
          <w:szCs w:val="24"/>
        </w:rPr>
        <w:lastRenderedPageBreak/>
        <w:t>- So ist es vermutlich nur noch eine Frage der Zeit, bis sich die Gerichte mit der Frage zu befassen haben, ob sich die Internetsucht auf die Schuld</w:t>
      </w:r>
      <w:r w:rsidRPr="00154A79">
        <w:rPr>
          <w:rFonts w:ascii="Times New Roman" w:hAnsi="Times New Roman"/>
          <w:szCs w:val="24"/>
        </w:rPr>
        <w:t>fä</w:t>
      </w:r>
      <w:r w:rsidRPr="00154A79">
        <w:rPr>
          <w:rFonts w:ascii="Times New Roman" w:hAnsi="Times New Roman"/>
          <w:szCs w:val="24"/>
        </w:rPr>
        <w:t>higkeit auswirkt</w:t>
      </w:r>
      <w:r w:rsidRPr="00154A79">
        <w:rPr>
          <w:rStyle w:val="Funotenzeichen"/>
          <w:rFonts w:ascii="Times New Roman" w:hAnsi="Times New Roman"/>
          <w:szCs w:val="24"/>
        </w:rPr>
        <w:footnoteReference w:id="86"/>
      </w:r>
      <w:r w:rsidRPr="00154A79">
        <w:rPr>
          <w:rFonts w:ascii="Times New Roman" w:hAnsi="Times New Roman"/>
          <w:szCs w:val="24"/>
        </w:rPr>
        <w:t>. - In Amerika soll jedenfalls bereits erstmals einer Frau wegen ihrer Internetsucht das Sorgerecht für ihre Kinder entzogen worden sein</w:t>
      </w:r>
      <w:r w:rsidRPr="00154A79">
        <w:rPr>
          <w:rStyle w:val="Funotenzeichen"/>
          <w:rFonts w:ascii="Times New Roman" w:hAnsi="Times New Roman"/>
          <w:szCs w:val="24"/>
        </w:rPr>
        <w:footnoteReference w:id="87"/>
      </w:r>
      <w:r w:rsidRPr="00154A79">
        <w:rPr>
          <w:rFonts w:ascii="Times New Roman" w:hAnsi="Times New Roman"/>
          <w:szCs w:val="24"/>
        </w:rPr>
        <w:t>. Dies läßt vermuten, dass beispielsweise in einem Prozess wegen Kindesmißhandlung die Schuldfähigkeit</w:t>
      </w:r>
      <w:r w:rsidRPr="00154A79">
        <w:rPr>
          <w:rFonts w:ascii="Times New Roman" w:hAnsi="Times New Roman"/>
          <w:szCs w:val="24"/>
        </w:rPr>
        <w:t xml:space="preserve"> dieser Frau nach deutschem Recht zumindest zu begutachten gewesen wäre.</w:t>
      </w:r>
      <w:bookmarkStart w:id="0" w:name="_GoBack"/>
      <w:bookmarkEnd w:id="0"/>
    </w:p>
    <w:sectPr w:rsidR="00000000" w:rsidRPr="00154A79">
      <w:footerReference w:type="default" r:id="rId8"/>
      <w:pgSz w:w="11907" w:h="16840"/>
      <w:pgMar w:top="851" w:right="851" w:bottom="85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46A2F">
      <w:r>
        <w:separator/>
      </w:r>
    </w:p>
  </w:endnote>
  <w:endnote w:type="continuationSeparator" w:id="0">
    <w:p w:rsidR="00000000" w:rsidRDefault="0004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6A2F">
    <w:pPr>
      <w:pStyle w:val="Fuzeile"/>
      <w:framePr w:wrap="auto" w:vAnchor="text" w:hAnchor="margin" w:xAlign="right" w:y="1"/>
    </w:pPr>
    <w:r>
      <w:fldChar w:fldCharType="begin"/>
    </w:r>
    <w:r>
      <w:instrText xml:space="preserve">PAGE  </w:instrText>
    </w:r>
    <w:r>
      <w:fldChar w:fldCharType="separate"/>
    </w:r>
    <w:r>
      <w:rPr>
        <w:noProof/>
      </w:rPr>
      <w:t>16</w:t>
    </w:r>
    <w:r>
      <w:fldChar w:fldCharType="end"/>
    </w:r>
  </w:p>
  <w:p w:rsidR="00000000" w:rsidRDefault="00046A2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46A2F">
      <w:r>
        <w:separator/>
      </w:r>
    </w:p>
  </w:footnote>
  <w:footnote w:type="continuationSeparator" w:id="0">
    <w:p w:rsidR="00000000" w:rsidRDefault="00046A2F">
      <w:r>
        <w:continuationSeparator/>
      </w:r>
    </w:p>
  </w:footnote>
  <w:footnote w:id="1">
    <w:p w:rsidR="00000000" w:rsidRPr="00154A79" w:rsidRDefault="00046A2F" w:rsidP="00154A79">
      <w:pPr>
        <w:pStyle w:val="Funotentext"/>
        <w:spacing w:before="120"/>
        <w:ind w:left="0"/>
        <w:jc w:val="both"/>
        <w:rPr>
          <w:rFonts w:ascii="Times New Roman" w:hAnsi="Times New Roman"/>
        </w:rPr>
      </w:pPr>
      <w:r>
        <w:rPr>
          <w:rStyle w:val="Funotenzeichen"/>
        </w:rPr>
        <w:footnoteRef/>
      </w:r>
      <w:r>
        <w:t xml:space="preserve"> </w:t>
      </w:r>
      <w:r>
        <w:tab/>
      </w:r>
      <w:r w:rsidRPr="00154A79">
        <w:rPr>
          <w:rFonts w:ascii="Times New Roman" w:hAnsi="Times New Roman"/>
        </w:rPr>
        <w:t>Statt aller vgl. LK</w:t>
      </w:r>
      <w:r w:rsidRPr="00154A79">
        <w:rPr>
          <w:rFonts w:ascii="Times New Roman" w:hAnsi="Times New Roman"/>
          <w:i/>
        </w:rPr>
        <w:t xml:space="preserve">-Jähnke, </w:t>
      </w:r>
      <w:r w:rsidRPr="00154A79">
        <w:rPr>
          <w:rFonts w:ascii="Times New Roman" w:hAnsi="Times New Roman"/>
        </w:rPr>
        <w:t>11. Auflage, 10. Lieferung, Berlin, New York 1993, § 20, Rn 13.</w:t>
      </w:r>
      <w:r w:rsidRPr="00154A79">
        <w:rPr>
          <w:rFonts w:ascii="Times New Roman" w:hAnsi="Times New Roman"/>
          <w:b/>
        </w:rPr>
        <w:t xml:space="preserve"> </w:t>
      </w:r>
      <w:r w:rsidRPr="00154A79">
        <w:rPr>
          <w:rFonts w:ascii="Times New Roman" w:hAnsi="Times New Roman"/>
        </w:rPr>
        <w:t>Inwie</w:t>
      </w:r>
      <w:r w:rsidRPr="00154A79">
        <w:rPr>
          <w:rFonts w:ascii="Times New Roman" w:hAnsi="Times New Roman"/>
        </w:rPr>
        <w:softHyphen/>
        <w:t>weit diese Annahme inhaltlich auch berechtigt ist, kann hier aus Raumgründen nich</w:t>
      </w:r>
      <w:r w:rsidRPr="00154A79">
        <w:rPr>
          <w:rFonts w:ascii="Times New Roman" w:hAnsi="Times New Roman"/>
        </w:rPr>
        <w:t>t erörtert wer</w:t>
      </w:r>
      <w:r w:rsidRPr="00154A79">
        <w:rPr>
          <w:rFonts w:ascii="Times New Roman" w:hAnsi="Times New Roman"/>
        </w:rPr>
        <w:softHyphen/>
        <w:t xml:space="preserve">den. Für die damit verbundenen Fragen des Schuldbegriffs im allgemeinen und der Willensfreiheit im </w:t>
      </w:r>
      <w:proofErr w:type="gramStart"/>
      <w:r w:rsidRPr="00154A79">
        <w:rPr>
          <w:rFonts w:ascii="Times New Roman" w:hAnsi="Times New Roman"/>
        </w:rPr>
        <w:t>besonderen</w:t>
      </w:r>
      <w:proofErr w:type="gramEnd"/>
      <w:r w:rsidRPr="00154A79">
        <w:rPr>
          <w:rFonts w:ascii="Times New Roman" w:hAnsi="Times New Roman"/>
        </w:rPr>
        <w:t xml:space="preserve"> sei auf die einschlägigen Lehrbücher und Kommentierungen verwiesen.</w:t>
      </w:r>
    </w:p>
  </w:footnote>
  <w:footnote w:id="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 20, Rn 2.</w:t>
      </w:r>
    </w:p>
  </w:footnote>
  <w:footnote w:id="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Noch kürzere Formulierungsbei</w:t>
      </w:r>
      <w:r w:rsidRPr="00154A79">
        <w:rPr>
          <w:rFonts w:ascii="Times New Roman" w:hAnsi="Times New Roman"/>
        </w:rPr>
        <w:t xml:space="preserve">spiele bei </w:t>
      </w:r>
      <w:r w:rsidRPr="00154A79">
        <w:rPr>
          <w:rFonts w:ascii="Times New Roman" w:hAnsi="Times New Roman"/>
          <w:i/>
        </w:rPr>
        <w:t xml:space="preserve">Werle, </w:t>
      </w:r>
      <w:r w:rsidRPr="00154A79">
        <w:rPr>
          <w:rFonts w:ascii="Times New Roman" w:hAnsi="Times New Roman"/>
        </w:rPr>
        <w:t>die allgemeine Straftatlehre - insbesondere: Der Deliktsaufbau beim vorsätzlichen Begehungsdelikt, JuS 1986, L 68.</w:t>
      </w:r>
    </w:p>
  </w:footnote>
  <w:footnote w:id="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In diesen Fällen jedoch zumeist einen unmißverständlichen Hinweis auf § 20 StGB (so z.B. bei </w:t>
      </w:r>
      <w:r w:rsidRPr="00154A79">
        <w:rPr>
          <w:rFonts w:ascii="Times New Roman" w:hAnsi="Times New Roman"/>
          <w:i/>
        </w:rPr>
        <w:t xml:space="preserve">Hohmann, </w:t>
      </w:r>
      <w:r w:rsidRPr="00154A79">
        <w:rPr>
          <w:rFonts w:ascii="Times New Roman" w:hAnsi="Times New Roman"/>
        </w:rPr>
        <w:t>JuS 1995, S. 135 “</w:t>
      </w:r>
      <w:r w:rsidRPr="00154A79">
        <w:rPr>
          <w:rFonts w:ascii="Times New Roman" w:hAnsi="Times New Roman"/>
        </w:rPr>
        <w:t>Der psychiatrische Gutachter geht für den Tatzeitpunkt von dem Vor</w:t>
      </w:r>
      <w:r w:rsidRPr="00154A79">
        <w:rPr>
          <w:rFonts w:ascii="Times New Roman" w:hAnsi="Times New Roman"/>
        </w:rPr>
        <w:t>liegen der Voraussetzungen des § 20 aus”.). Die sich daran anschließenden und seit BGH</w:t>
      </w:r>
      <w:r w:rsidRPr="00154A79">
        <w:rPr>
          <w:rFonts w:ascii="Times New Roman" w:hAnsi="Times New Roman"/>
          <w:b/>
        </w:rPr>
        <w:t xml:space="preserve"> </w:t>
      </w:r>
      <w:r w:rsidRPr="00154A79">
        <w:rPr>
          <w:rFonts w:ascii="Times New Roman" w:hAnsi="Times New Roman"/>
        </w:rPr>
        <w:t>NStZ 1997, S. 228 ff. bzw. S. 230 besonders aktuellen dogmatischen Fragestellungen sind - wie auch § 3</w:t>
      </w:r>
      <w:r w:rsidRPr="00154A79">
        <w:rPr>
          <w:rFonts w:ascii="Times New Roman" w:hAnsi="Times New Roman"/>
        </w:rPr>
        <w:t xml:space="preserve">23a StGB - nicht mehr Gegenstand der hier zu behandelnden Thematik. Vgl. jedoch </w:t>
      </w:r>
      <w:r w:rsidRPr="00154A79">
        <w:rPr>
          <w:rFonts w:ascii="Times New Roman" w:hAnsi="Times New Roman"/>
          <w:i/>
        </w:rPr>
        <w:t xml:space="preserve">Rath, </w:t>
      </w:r>
      <w:r w:rsidRPr="00154A79">
        <w:rPr>
          <w:rFonts w:ascii="Times New Roman" w:hAnsi="Times New Roman"/>
        </w:rPr>
        <w:t xml:space="preserve">Zur </w:t>
      </w:r>
      <w:proofErr w:type="spellStart"/>
      <w:r w:rsidRPr="00154A79">
        <w:rPr>
          <w:rFonts w:ascii="Times New Roman" w:hAnsi="Times New Roman"/>
        </w:rPr>
        <w:t>actio</w:t>
      </w:r>
      <w:proofErr w:type="spellEnd"/>
      <w:r w:rsidRPr="00154A79">
        <w:rPr>
          <w:rFonts w:ascii="Times New Roman" w:hAnsi="Times New Roman"/>
        </w:rPr>
        <w:t xml:space="preserve"> </w:t>
      </w:r>
      <w:proofErr w:type="spellStart"/>
      <w:r w:rsidRPr="00154A79">
        <w:rPr>
          <w:rFonts w:ascii="Times New Roman" w:hAnsi="Times New Roman"/>
        </w:rPr>
        <w:t>libera</w:t>
      </w:r>
      <w:proofErr w:type="spellEnd"/>
      <w:r w:rsidRPr="00154A79">
        <w:rPr>
          <w:rFonts w:ascii="Times New Roman" w:hAnsi="Times New Roman"/>
        </w:rPr>
        <w:t xml:space="preserve"> in causa bei Schuldunfähigkeit des Täters, JuS 1995, S. 405 ff. sowie </w:t>
      </w:r>
      <w:r w:rsidRPr="00154A79">
        <w:rPr>
          <w:rFonts w:ascii="Times New Roman" w:hAnsi="Times New Roman"/>
          <w:i/>
        </w:rPr>
        <w:t xml:space="preserve">Rönnau, </w:t>
      </w:r>
      <w:r w:rsidRPr="00154A79">
        <w:rPr>
          <w:rFonts w:ascii="Times New Roman" w:hAnsi="Times New Roman"/>
        </w:rPr>
        <w:t>Grundstruk</w:t>
      </w:r>
      <w:r w:rsidRPr="00154A79">
        <w:rPr>
          <w:rFonts w:ascii="Times New Roman" w:hAnsi="Times New Roman"/>
        </w:rPr>
        <w:t xml:space="preserve">tur und Erscheinungsformen der </w:t>
      </w:r>
      <w:proofErr w:type="spellStart"/>
      <w:r w:rsidRPr="00154A79">
        <w:rPr>
          <w:rFonts w:ascii="Times New Roman" w:hAnsi="Times New Roman"/>
        </w:rPr>
        <w:t>actio</w:t>
      </w:r>
      <w:proofErr w:type="spellEnd"/>
      <w:r w:rsidRPr="00154A79">
        <w:rPr>
          <w:rFonts w:ascii="Times New Roman" w:hAnsi="Times New Roman"/>
        </w:rPr>
        <w:t xml:space="preserve"> </w:t>
      </w:r>
      <w:proofErr w:type="spellStart"/>
      <w:r w:rsidRPr="00154A79">
        <w:rPr>
          <w:rFonts w:ascii="Times New Roman" w:hAnsi="Times New Roman"/>
        </w:rPr>
        <w:t>libera</w:t>
      </w:r>
      <w:proofErr w:type="spellEnd"/>
      <w:r w:rsidRPr="00154A79">
        <w:rPr>
          <w:rFonts w:ascii="Times New Roman" w:hAnsi="Times New Roman"/>
        </w:rPr>
        <w:t xml:space="preserve"> in causa, JA 1997, S</w:t>
      </w:r>
      <w:r w:rsidRPr="00154A79">
        <w:rPr>
          <w:rFonts w:ascii="Times New Roman" w:hAnsi="Times New Roman"/>
        </w:rPr>
        <w:t xml:space="preserve">. 599 ff. sowie </w:t>
      </w:r>
      <w:proofErr w:type="spellStart"/>
      <w:r w:rsidRPr="00154A79">
        <w:rPr>
          <w:rFonts w:ascii="Times New Roman" w:hAnsi="Times New Roman"/>
          <w:i/>
        </w:rPr>
        <w:t>Renzikowski</w:t>
      </w:r>
      <w:proofErr w:type="spellEnd"/>
      <w:r w:rsidRPr="00154A79">
        <w:rPr>
          <w:rFonts w:ascii="Times New Roman" w:hAnsi="Times New Roman"/>
          <w:i/>
        </w:rPr>
        <w:t xml:space="preserve">, </w:t>
      </w:r>
      <w:r w:rsidRPr="00154A79">
        <w:rPr>
          <w:rFonts w:ascii="Times New Roman" w:hAnsi="Times New Roman"/>
        </w:rPr>
        <w:t>Die Verschärfung des § 323a StGB – Preisgabe des Schuldprinzips? ZStW 112 (2000), 475 ff.</w:t>
      </w:r>
    </w:p>
    <w:p w:rsidR="00000000" w:rsidRPr="00154A79" w:rsidRDefault="00046A2F" w:rsidP="00154A79">
      <w:pPr>
        <w:pStyle w:val="Funotentext"/>
        <w:spacing w:before="120"/>
        <w:ind w:left="0"/>
        <w:jc w:val="both"/>
        <w:rPr>
          <w:rFonts w:ascii="Times New Roman" w:hAnsi="Times New Roman"/>
        </w:rPr>
      </w:pPr>
      <w:r w:rsidRPr="00154A79">
        <w:rPr>
          <w:rFonts w:ascii="Times New Roman" w:hAnsi="Times New Roman"/>
        </w:rPr>
        <w:tab/>
        <w:t xml:space="preserve">Siehe zu den Reformbestrebungen, die Grundsätze der </w:t>
      </w:r>
      <w:proofErr w:type="spellStart"/>
      <w:r w:rsidRPr="00154A79">
        <w:rPr>
          <w:rFonts w:ascii="Times New Roman" w:hAnsi="Times New Roman"/>
        </w:rPr>
        <w:t>actio</w:t>
      </w:r>
      <w:proofErr w:type="spellEnd"/>
      <w:r w:rsidRPr="00154A79">
        <w:rPr>
          <w:rFonts w:ascii="Times New Roman" w:hAnsi="Times New Roman"/>
        </w:rPr>
        <w:t xml:space="preserve"> </w:t>
      </w:r>
      <w:proofErr w:type="spellStart"/>
      <w:r w:rsidRPr="00154A79">
        <w:rPr>
          <w:rFonts w:ascii="Times New Roman" w:hAnsi="Times New Roman"/>
        </w:rPr>
        <w:t>libera</w:t>
      </w:r>
      <w:proofErr w:type="spellEnd"/>
      <w:r w:rsidRPr="00154A79">
        <w:rPr>
          <w:rFonts w:ascii="Times New Roman" w:hAnsi="Times New Roman"/>
        </w:rPr>
        <w:t xml:space="preserve"> in causa gesetzlich zu normieren auch die Vorschläge im Abschlussberich</w:t>
      </w:r>
      <w:r w:rsidRPr="00154A79">
        <w:rPr>
          <w:rFonts w:ascii="Times New Roman" w:hAnsi="Times New Roman"/>
        </w:rPr>
        <w:t xml:space="preserve">t der vom damaligen Bundesminister der Justiz eingesetzten </w:t>
      </w:r>
      <w:r w:rsidRPr="00154A79">
        <w:rPr>
          <w:rFonts w:ascii="Times New Roman" w:hAnsi="Times New Roman"/>
          <w:i/>
        </w:rPr>
        <w:t>Kommission zur Reform des strafrechtlichen Sanktionensystems</w:t>
      </w:r>
      <w:r w:rsidRPr="00154A79">
        <w:rPr>
          <w:rFonts w:ascii="Times New Roman" w:hAnsi="Times New Roman"/>
        </w:rPr>
        <w:t xml:space="preserve">, März 2000, S. 182 ff., insbesondere Beschluss 11-5. (Abrufbar als </w:t>
      </w:r>
      <w:proofErr w:type="spellStart"/>
      <w:r w:rsidRPr="00154A79">
        <w:rPr>
          <w:rFonts w:ascii="Times New Roman" w:hAnsi="Times New Roman"/>
        </w:rPr>
        <w:t>pdf</w:t>
      </w:r>
      <w:proofErr w:type="spellEnd"/>
      <w:r w:rsidRPr="00154A79">
        <w:rPr>
          <w:rFonts w:ascii="Times New Roman" w:hAnsi="Times New Roman"/>
        </w:rPr>
        <w:t xml:space="preserve">-Datei im Internet auf der </w:t>
      </w:r>
      <w:proofErr w:type="spellStart"/>
      <w:r w:rsidRPr="00154A79">
        <w:rPr>
          <w:rFonts w:ascii="Times New Roman" w:hAnsi="Times New Roman"/>
        </w:rPr>
        <w:t>homepage</w:t>
      </w:r>
      <w:proofErr w:type="spellEnd"/>
      <w:r w:rsidRPr="00154A79">
        <w:rPr>
          <w:rFonts w:ascii="Times New Roman" w:hAnsi="Times New Roman"/>
        </w:rPr>
        <w:t xml:space="preserve"> des BMJ (bmj.bund.de/inhalt.ht</w:t>
      </w:r>
      <w:r w:rsidRPr="00154A79">
        <w:rPr>
          <w:rFonts w:ascii="Times New Roman" w:hAnsi="Times New Roman"/>
        </w:rPr>
        <w:t>m), Rubrik Gesetzesvorhaben, Gutachten.</w:t>
      </w:r>
      <w:r w:rsidRPr="00154A79">
        <w:rPr>
          <w:rFonts w:ascii="Times New Roman" w:hAnsi="Times New Roman"/>
          <w:u w:val="single"/>
        </w:rPr>
        <w:t xml:space="preserve"> </w:t>
      </w:r>
    </w:p>
  </w:footnote>
  <w:footnote w:id="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Kühl, </w:t>
      </w:r>
      <w:r w:rsidRPr="00154A79">
        <w:rPr>
          <w:rFonts w:ascii="Times New Roman" w:hAnsi="Times New Roman"/>
        </w:rPr>
        <w:t xml:space="preserve">Strafrecht - Allgemeiner Teil, 3. Auflage, München 2000, § 10, Rn 3. Siehe auch </w:t>
      </w:r>
      <w:r w:rsidRPr="00154A79">
        <w:rPr>
          <w:rFonts w:ascii="Times New Roman" w:hAnsi="Times New Roman"/>
          <w:i/>
        </w:rPr>
        <w:t xml:space="preserve">Blau/Franke, </w:t>
      </w:r>
      <w:r w:rsidRPr="00154A79">
        <w:rPr>
          <w:rFonts w:ascii="Times New Roman" w:hAnsi="Times New Roman"/>
        </w:rPr>
        <w:t>Prolegomena zur strafrechtlichen Schuldfähigkeit, Jura 1982, S. 395.</w:t>
      </w:r>
    </w:p>
  </w:footnote>
  <w:footnote w:id="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Lackner/Kühl, </w:t>
      </w:r>
      <w:r w:rsidRPr="00154A79">
        <w:rPr>
          <w:rFonts w:ascii="Times New Roman" w:hAnsi="Times New Roman"/>
        </w:rPr>
        <w:t xml:space="preserve">23. Aufl., München 1999, </w:t>
      </w:r>
      <w:r w:rsidRPr="00154A79">
        <w:rPr>
          <w:rFonts w:ascii="Times New Roman" w:hAnsi="Times New Roman"/>
        </w:rPr>
        <w:t>§ 20, Rn 19 m.w.N.</w:t>
      </w:r>
    </w:p>
  </w:footnote>
  <w:footnote w:id="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Quelle: </w:t>
      </w:r>
      <w:r w:rsidRPr="00154A79">
        <w:rPr>
          <w:rFonts w:ascii="Times New Roman" w:hAnsi="Times New Roman"/>
        </w:rPr>
        <w:t xml:space="preserve">Eigene Berechnungen auf der Grundlage der Strafverfolgungsstatistik 1998, </w:t>
      </w:r>
      <w:proofErr w:type="spellStart"/>
      <w:r w:rsidRPr="00154A79">
        <w:rPr>
          <w:rFonts w:ascii="Times New Roman" w:hAnsi="Times New Roman"/>
        </w:rPr>
        <w:t>Statistsiches</w:t>
      </w:r>
      <w:proofErr w:type="spellEnd"/>
      <w:r w:rsidRPr="00154A79">
        <w:rPr>
          <w:rFonts w:ascii="Times New Roman" w:hAnsi="Times New Roman"/>
        </w:rPr>
        <w:t xml:space="preserve"> Bun</w:t>
      </w:r>
      <w:r w:rsidRPr="00154A79">
        <w:rPr>
          <w:rFonts w:ascii="Times New Roman" w:hAnsi="Times New Roman"/>
        </w:rPr>
        <w:softHyphen/>
        <w:t>desamt (Hrsg.), Fachserie 10, Reihe 3 Strafverfolgung, S. 72, 73., Tab. 5.5. und 5.6 und S. 16,17 Tab. 2.1. Die Zahlen schließen die n</w:t>
      </w:r>
      <w:r w:rsidRPr="00154A79">
        <w:rPr>
          <w:rFonts w:ascii="Times New Roman" w:hAnsi="Times New Roman"/>
        </w:rPr>
        <w:t xml:space="preserve">ach dem JGG </w:t>
      </w:r>
      <w:proofErr w:type="spellStart"/>
      <w:r w:rsidRPr="00154A79">
        <w:rPr>
          <w:rFonts w:ascii="Times New Roman" w:hAnsi="Times New Roman"/>
        </w:rPr>
        <w:t>abge</w:t>
      </w:r>
      <w:proofErr w:type="spellEnd"/>
      <w:r w:rsidRPr="00154A79">
        <w:rPr>
          <w:rFonts w:ascii="Times New Roman" w:hAnsi="Times New Roman"/>
        </w:rPr>
        <w:t>- bzw. verurteilten Täter mit ein.</w:t>
      </w:r>
    </w:p>
  </w:footnote>
  <w:footnote w:id="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Maurach/Zipf, </w:t>
      </w:r>
      <w:r w:rsidRPr="00154A79">
        <w:rPr>
          <w:rFonts w:ascii="Times New Roman" w:hAnsi="Times New Roman"/>
        </w:rPr>
        <w:t>Strafrecht Allgemeiner Teil, Teilband 1, 8. Aufl., Heidelberg</w:t>
      </w:r>
      <w:r w:rsidRPr="00154A79">
        <w:rPr>
          <w:rFonts w:ascii="Times New Roman" w:hAnsi="Times New Roman"/>
          <w:b/>
        </w:rPr>
        <w:t xml:space="preserve"> </w:t>
      </w:r>
      <w:r w:rsidRPr="00154A79">
        <w:rPr>
          <w:rFonts w:ascii="Times New Roman" w:hAnsi="Times New Roman"/>
        </w:rPr>
        <w:t>1992,</w:t>
      </w:r>
      <w:r w:rsidRPr="00154A79">
        <w:rPr>
          <w:rFonts w:ascii="Times New Roman" w:hAnsi="Times New Roman"/>
          <w:b/>
        </w:rPr>
        <w:t xml:space="preserve"> </w:t>
      </w:r>
      <w:r w:rsidRPr="00154A79">
        <w:rPr>
          <w:rFonts w:ascii="Times New Roman" w:hAnsi="Times New Roman"/>
        </w:rPr>
        <w:t>§ 36 I B 1, Rn 5;</w:t>
      </w:r>
      <w:r w:rsidRPr="00154A79">
        <w:rPr>
          <w:rFonts w:ascii="Times New Roman" w:hAnsi="Times New Roman"/>
          <w:b/>
        </w:rPr>
        <w:t xml:space="preserve"> </w:t>
      </w:r>
      <w:r w:rsidRPr="00154A79">
        <w:rPr>
          <w:rFonts w:ascii="Times New Roman" w:hAnsi="Times New Roman"/>
          <w:i/>
        </w:rPr>
        <w:t xml:space="preserve">Tröndle/Fischer, </w:t>
      </w:r>
      <w:r w:rsidRPr="00154A79">
        <w:rPr>
          <w:rFonts w:ascii="Times New Roman" w:hAnsi="Times New Roman"/>
        </w:rPr>
        <w:t xml:space="preserve">50. Aufl., München 2001, § 20, Rn 5; </w:t>
      </w:r>
      <w:r w:rsidRPr="00154A79">
        <w:rPr>
          <w:rFonts w:ascii="Times New Roman" w:hAnsi="Times New Roman"/>
          <w:i/>
        </w:rPr>
        <w:t xml:space="preserve">Lenckner, </w:t>
      </w:r>
      <w:r w:rsidRPr="00154A79">
        <w:rPr>
          <w:rFonts w:ascii="Times New Roman" w:hAnsi="Times New Roman"/>
        </w:rPr>
        <w:t>Strafe, Schuld und Schuldfähigkeit, in:</w:t>
      </w:r>
      <w:r w:rsidRPr="00154A79">
        <w:rPr>
          <w:rFonts w:ascii="Times New Roman" w:hAnsi="Times New Roman"/>
        </w:rPr>
        <w:t xml:space="preserve"> Handbuch der fo</w:t>
      </w:r>
      <w:r w:rsidRPr="00154A79">
        <w:rPr>
          <w:rFonts w:ascii="Times New Roman" w:hAnsi="Times New Roman"/>
        </w:rPr>
        <w:t xml:space="preserve">rensischen Psychiatrie, hrsg. von Göppinger und Witter, Bd. 1, Berlin, Heidelberg, New York, 1972, S. 91; </w:t>
      </w:r>
      <w:r w:rsidRPr="00154A79">
        <w:rPr>
          <w:rFonts w:ascii="Times New Roman" w:hAnsi="Times New Roman"/>
          <w:i/>
        </w:rPr>
        <w:t xml:space="preserve">Blau/Franke, </w:t>
      </w:r>
      <w:proofErr w:type="spellStart"/>
      <w:r w:rsidRPr="00154A79">
        <w:rPr>
          <w:rFonts w:ascii="Times New Roman" w:hAnsi="Times New Roman"/>
        </w:rPr>
        <w:t>aaO</w:t>
      </w:r>
      <w:proofErr w:type="spellEnd"/>
      <w:r w:rsidRPr="00154A79">
        <w:rPr>
          <w:rFonts w:ascii="Times New Roman" w:hAnsi="Times New Roman"/>
        </w:rPr>
        <w:t>, S. 397.</w:t>
      </w:r>
      <w:r w:rsidRPr="00154A79">
        <w:rPr>
          <w:rFonts w:ascii="Times New Roman" w:hAnsi="Times New Roman"/>
          <w:b/>
        </w:rPr>
        <w:t xml:space="preserve"> </w:t>
      </w:r>
      <w:r w:rsidRPr="00154A79">
        <w:rPr>
          <w:rFonts w:ascii="Times New Roman" w:hAnsi="Times New Roman"/>
        </w:rPr>
        <w:t xml:space="preserve"> </w:t>
      </w:r>
    </w:p>
  </w:footnote>
  <w:footnote w:id="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xml:space="preserve">, § 20, Rn 2; vgl. </w:t>
      </w:r>
      <w:r w:rsidRPr="00154A79">
        <w:rPr>
          <w:rFonts w:ascii="Times New Roman" w:hAnsi="Times New Roman"/>
          <w:i/>
        </w:rPr>
        <w:t xml:space="preserve">Blau/Franke, </w:t>
      </w:r>
      <w:proofErr w:type="spellStart"/>
      <w:r w:rsidRPr="00154A79">
        <w:rPr>
          <w:rFonts w:ascii="Times New Roman" w:hAnsi="Times New Roman"/>
        </w:rPr>
        <w:t>aaO</w:t>
      </w:r>
      <w:proofErr w:type="spellEnd"/>
      <w:r w:rsidRPr="00154A79">
        <w:rPr>
          <w:rFonts w:ascii="Times New Roman" w:hAnsi="Times New Roman"/>
        </w:rPr>
        <w:t>, S. 394.</w:t>
      </w:r>
    </w:p>
  </w:footnote>
  <w:footnote w:id="1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Zur Einordnung der Verantwortlichkeit al</w:t>
      </w:r>
      <w:r w:rsidRPr="00154A79">
        <w:rPr>
          <w:rFonts w:ascii="Times New Roman" w:hAnsi="Times New Roman"/>
        </w:rPr>
        <w:t xml:space="preserve">s einem Schuldmerkmal vgl. </w:t>
      </w:r>
      <w:proofErr w:type="spellStart"/>
      <w:r w:rsidRPr="00154A79">
        <w:rPr>
          <w:rFonts w:ascii="Times New Roman" w:hAnsi="Times New Roman"/>
          <w:i/>
        </w:rPr>
        <w:t>Jescheck</w:t>
      </w:r>
      <w:proofErr w:type="spellEnd"/>
      <w:r w:rsidRPr="00154A79">
        <w:rPr>
          <w:rFonts w:ascii="Times New Roman" w:hAnsi="Times New Roman"/>
          <w:i/>
        </w:rPr>
        <w:t>/</w:t>
      </w:r>
      <w:proofErr w:type="spellStart"/>
      <w:r w:rsidRPr="00154A79">
        <w:rPr>
          <w:rFonts w:ascii="Times New Roman" w:hAnsi="Times New Roman"/>
          <w:i/>
        </w:rPr>
        <w:t>Weigend</w:t>
      </w:r>
      <w:proofErr w:type="spellEnd"/>
      <w:r w:rsidRPr="00154A79">
        <w:rPr>
          <w:rFonts w:ascii="Times New Roman" w:hAnsi="Times New Roman"/>
          <w:i/>
        </w:rPr>
        <w:t>,</w:t>
      </w:r>
      <w:r w:rsidRPr="00154A79">
        <w:rPr>
          <w:rFonts w:ascii="Times New Roman" w:hAnsi="Times New Roman"/>
        </w:rPr>
        <w:t xml:space="preserve"> Lehrbuch des Strafrechts, Allgemeiner Teil, 5. Aufl., Berlin 1996, S. 436, Fn. 11 m.w.N.</w:t>
      </w:r>
    </w:p>
  </w:footnote>
  <w:footnote w:id="1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Mißverständlich daher die Formulierung in </w:t>
      </w:r>
      <w:r w:rsidRPr="00154A79">
        <w:rPr>
          <w:rFonts w:ascii="Times New Roman" w:hAnsi="Times New Roman"/>
          <w:i/>
        </w:rPr>
        <w:t>Maurach/Zipf</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 36 IV A 1, Rn 82,</w:t>
      </w:r>
      <w:r w:rsidRPr="00154A79">
        <w:rPr>
          <w:rFonts w:ascii="Times New Roman" w:hAnsi="Times New Roman"/>
          <w:b/>
        </w:rPr>
        <w:t xml:space="preserve"> </w:t>
      </w:r>
      <w:r w:rsidRPr="00154A79">
        <w:rPr>
          <w:rFonts w:ascii="Times New Roman" w:hAnsi="Times New Roman"/>
        </w:rPr>
        <w:t>wenn es dort heißt, mit der Bejahung de</w:t>
      </w:r>
      <w:r w:rsidRPr="00154A79">
        <w:rPr>
          <w:rFonts w:ascii="Times New Roman" w:hAnsi="Times New Roman"/>
        </w:rPr>
        <w:t>r Verantwortlichkeit sei die Schuld des Jugendlichen erwiesen.</w:t>
      </w:r>
    </w:p>
  </w:footnote>
  <w:footnote w:id="1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Zu den für die Reifeentscheidung genannten Kriterien vgl. </w:t>
      </w:r>
      <w:r w:rsidRPr="00154A79">
        <w:rPr>
          <w:rFonts w:ascii="Times New Roman" w:hAnsi="Times New Roman"/>
          <w:i/>
        </w:rPr>
        <w:t xml:space="preserve">Bohnert, </w:t>
      </w:r>
      <w:r w:rsidRPr="00154A79">
        <w:rPr>
          <w:rFonts w:ascii="Times New Roman" w:hAnsi="Times New Roman"/>
        </w:rPr>
        <w:t>Strafmündigkeit und Norm</w:t>
      </w:r>
      <w:r w:rsidRPr="00154A79">
        <w:rPr>
          <w:rFonts w:ascii="Times New Roman" w:hAnsi="Times New Roman"/>
        </w:rPr>
        <w:softHyphen/>
        <w:t>kenntnis, NStZ 1988, S. 250 f.</w:t>
      </w:r>
    </w:p>
  </w:footnote>
  <w:footnote w:id="1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Zum Verhältnis zwischen § 3 JGG und den §§ 20, 21 StGB vgl. S/S-</w:t>
      </w:r>
      <w:r w:rsidRPr="00154A79">
        <w:rPr>
          <w:rFonts w:ascii="Times New Roman" w:hAnsi="Times New Roman"/>
          <w:i/>
        </w:rPr>
        <w:t xml:space="preserve">Lenckner, </w:t>
      </w:r>
      <w:r w:rsidRPr="00154A79">
        <w:rPr>
          <w:rFonts w:ascii="Times New Roman" w:hAnsi="Times New Roman"/>
        </w:rPr>
        <w:t xml:space="preserve">25. Aufl., München 1997, § 20, Rn 44 sowie </w:t>
      </w:r>
      <w:r w:rsidRPr="00154A79">
        <w:rPr>
          <w:rFonts w:ascii="Times New Roman" w:hAnsi="Times New Roman"/>
          <w:i/>
        </w:rPr>
        <w:t xml:space="preserve">Schaffstein/Beulke, </w:t>
      </w:r>
      <w:r w:rsidRPr="00154A79">
        <w:rPr>
          <w:rFonts w:ascii="Times New Roman" w:hAnsi="Times New Roman"/>
        </w:rPr>
        <w:t>Jugendstrafrecht, 13. Aufl., Stuttgart, Berlin, Köln, 1998, § 7, jeweils m.w.N.</w:t>
      </w:r>
    </w:p>
  </w:footnote>
  <w:footnote w:id="1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Dazu sogleich unter II.</w:t>
      </w:r>
    </w:p>
  </w:footnote>
  <w:footnote w:id="1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 20, Rn 5; S/S-</w:t>
      </w:r>
      <w:r w:rsidRPr="00154A79">
        <w:rPr>
          <w:rFonts w:ascii="Times New Roman" w:hAnsi="Times New Roman"/>
          <w:i/>
        </w:rPr>
        <w:t xml:space="preserve">Lenckner, </w:t>
      </w:r>
      <w:proofErr w:type="spellStart"/>
      <w:r w:rsidRPr="00154A79">
        <w:rPr>
          <w:rFonts w:ascii="Times New Roman" w:hAnsi="Times New Roman"/>
        </w:rPr>
        <w:t>aaO</w:t>
      </w:r>
      <w:proofErr w:type="spellEnd"/>
      <w:r w:rsidRPr="00154A79">
        <w:rPr>
          <w:rFonts w:ascii="Times New Roman" w:hAnsi="Times New Roman"/>
        </w:rPr>
        <w:t>, § 21, Rn 4; lehrreich BGHSt</w:t>
      </w:r>
      <w:r w:rsidRPr="00154A79">
        <w:rPr>
          <w:rFonts w:ascii="Times New Roman" w:hAnsi="Times New Roman"/>
        </w:rPr>
        <w:t xml:space="preserve"> 21, 27 (28) noch für den früheren § 51 Abs.2 StGB, der jedoch dem heutigen § 21 StGB insoweit entspricht, vgl. ferner </w:t>
      </w:r>
      <w:r w:rsidRPr="00154A79">
        <w:rPr>
          <w:rFonts w:ascii="Times New Roman" w:hAnsi="Times New Roman"/>
        </w:rPr>
        <w:t>BGHSt 34, 22 (25) und BGH NStZ-RR 1997, S. 129 (130).</w:t>
      </w:r>
    </w:p>
  </w:footnote>
  <w:footnote w:id="16">
    <w:p w:rsidR="00000000" w:rsidRPr="00154A79" w:rsidRDefault="00046A2F" w:rsidP="00154A79">
      <w:pPr>
        <w:pStyle w:val="Funotentext"/>
        <w:spacing w:before="120"/>
        <w:ind w:left="0"/>
        <w:jc w:val="both"/>
        <w:rPr>
          <w:rFonts w:ascii="Times New Roman" w:hAnsi="Times New Roman"/>
          <w:lang w:val="en-GB"/>
        </w:rPr>
      </w:pPr>
      <w:r w:rsidRPr="00154A79">
        <w:rPr>
          <w:rStyle w:val="Funotenzeichen"/>
          <w:rFonts w:ascii="Times New Roman" w:hAnsi="Times New Roman"/>
        </w:rPr>
        <w:footnoteRef/>
      </w:r>
      <w:r w:rsidRPr="00154A79">
        <w:rPr>
          <w:rFonts w:ascii="Times New Roman" w:hAnsi="Times New Roman"/>
          <w:lang w:val="en-GB"/>
        </w:rPr>
        <w:t xml:space="preserve"> </w:t>
      </w:r>
      <w:r w:rsidRPr="00154A79">
        <w:rPr>
          <w:rFonts w:ascii="Times New Roman" w:hAnsi="Times New Roman"/>
          <w:lang w:val="en-GB"/>
        </w:rPr>
        <w:tab/>
        <w:t>S/S-</w:t>
      </w:r>
      <w:proofErr w:type="spellStart"/>
      <w:r w:rsidRPr="00154A79">
        <w:rPr>
          <w:rFonts w:ascii="Times New Roman" w:hAnsi="Times New Roman"/>
          <w:i/>
          <w:lang w:val="en-GB"/>
        </w:rPr>
        <w:t>Lenckner</w:t>
      </w:r>
      <w:proofErr w:type="spellEnd"/>
      <w:r w:rsidRPr="00154A79">
        <w:rPr>
          <w:rFonts w:ascii="Times New Roman" w:hAnsi="Times New Roman"/>
          <w:i/>
          <w:lang w:val="en-GB"/>
        </w:rPr>
        <w:t xml:space="preserve">, </w:t>
      </w:r>
      <w:proofErr w:type="spellStart"/>
      <w:r w:rsidRPr="00154A79">
        <w:rPr>
          <w:rFonts w:ascii="Times New Roman" w:hAnsi="Times New Roman"/>
          <w:lang w:val="en-GB"/>
        </w:rPr>
        <w:t>aaO</w:t>
      </w:r>
      <w:proofErr w:type="spellEnd"/>
      <w:r w:rsidRPr="00154A79">
        <w:rPr>
          <w:rFonts w:ascii="Times New Roman" w:hAnsi="Times New Roman"/>
          <w:lang w:val="en-GB"/>
        </w:rPr>
        <w:t>, § 21, Rn 6.</w:t>
      </w:r>
    </w:p>
  </w:footnote>
  <w:footnote w:id="1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i/>
        </w:rPr>
        <w:tab/>
        <w:t xml:space="preserve">Lackner/Kühl, </w:t>
      </w:r>
      <w:proofErr w:type="spellStart"/>
      <w:r w:rsidRPr="00154A79">
        <w:rPr>
          <w:rFonts w:ascii="Times New Roman" w:hAnsi="Times New Roman"/>
        </w:rPr>
        <w:t>aaO</w:t>
      </w:r>
      <w:proofErr w:type="spellEnd"/>
      <w:r w:rsidRPr="00154A79">
        <w:rPr>
          <w:rFonts w:ascii="Times New Roman" w:hAnsi="Times New Roman"/>
        </w:rPr>
        <w:t>, § 20, Rn 1.</w:t>
      </w:r>
    </w:p>
  </w:footnote>
  <w:footnote w:id="1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Blau/Franke,</w:t>
      </w:r>
      <w:r w:rsidRPr="00154A79">
        <w:rPr>
          <w:rFonts w:ascii="Times New Roman" w:hAnsi="Times New Roman"/>
          <w:i/>
        </w:rPr>
        <w:t xml:space="preserve"> </w:t>
      </w:r>
      <w:proofErr w:type="spellStart"/>
      <w:r w:rsidRPr="00154A79">
        <w:rPr>
          <w:rFonts w:ascii="Times New Roman" w:hAnsi="Times New Roman"/>
        </w:rPr>
        <w:t>aaO</w:t>
      </w:r>
      <w:proofErr w:type="spellEnd"/>
      <w:r w:rsidRPr="00154A79">
        <w:rPr>
          <w:rFonts w:ascii="Times New Roman" w:hAnsi="Times New Roman"/>
        </w:rPr>
        <w:t>, S. 397; vgl. auch S/S-</w:t>
      </w:r>
      <w:r w:rsidRPr="00154A79">
        <w:rPr>
          <w:rFonts w:ascii="Times New Roman" w:hAnsi="Times New Roman"/>
          <w:i/>
        </w:rPr>
        <w:t xml:space="preserve">Lenckner, </w:t>
      </w:r>
      <w:r w:rsidRPr="00154A79">
        <w:rPr>
          <w:rFonts w:ascii="Times New Roman" w:hAnsi="Times New Roman"/>
        </w:rPr>
        <w:t>§ 17, Rn 6.</w:t>
      </w:r>
    </w:p>
  </w:footnote>
  <w:footnote w:id="1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ab/>
      </w:r>
      <w:r w:rsidRPr="00154A79">
        <w:rPr>
          <w:rFonts w:ascii="Times New Roman" w:hAnsi="Times New Roman"/>
        </w:rPr>
        <w:t>Vgl. schon Fn. 1</w:t>
      </w:r>
    </w:p>
  </w:footnote>
  <w:footnote w:id="2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Zum </w:t>
      </w:r>
      <w:r w:rsidR="007E5A67">
        <w:rPr>
          <w:rFonts w:ascii="Times New Roman" w:hAnsi="Times New Roman"/>
        </w:rPr>
        <w:t>„</w:t>
      </w:r>
      <w:r w:rsidRPr="00154A79">
        <w:rPr>
          <w:rFonts w:ascii="Times New Roman" w:hAnsi="Times New Roman"/>
        </w:rPr>
        <w:t xml:space="preserve">sukzessiven Zusammenwirken” siehe </w:t>
      </w:r>
      <w:r w:rsidRPr="00154A79">
        <w:rPr>
          <w:rFonts w:ascii="Times New Roman" w:hAnsi="Times New Roman"/>
          <w:i/>
        </w:rPr>
        <w:t xml:space="preserve">Maurach/Zipf, </w:t>
      </w:r>
      <w:proofErr w:type="spellStart"/>
      <w:r w:rsidRPr="00154A79">
        <w:rPr>
          <w:rFonts w:ascii="Times New Roman" w:hAnsi="Times New Roman"/>
        </w:rPr>
        <w:t>aaO</w:t>
      </w:r>
      <w:proofErr w:type="spellEnd"/>
      <w:r w:rsidRPr="00154A79">
        <w:rPr>
          <w:rFonts w:ascii="Times New Roman" w:hAnsi="Times New Roman"/>
        </w:rPr>
        <w:t>, § 37 II B 1, Rn 34.</w:t>
      </w:r>
    </w:p>
  </w:footnote>
  <w:footnote w:id="2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ab/>
      </w:r>
      <w:r w:rsidRPr="00154A79">
        <w:rPr>
          <w:rFonts w:ascii="Times New Roman" w:hAnsi="Times New Roman"/>
        </w:rPr>
        <w:t>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 20, Rn 5; S/S-</w:t>
      </w:r>
      <w:r w:rsidRPr="00154A79">
        <w:rPr>
          <w:rFonts w:ascii="Times New Roman" w:hAnsi="Times New Roman"/>
          <w:i/>
        </w:rPr>
        <w:t xml:space="preserve">Lenckner, </w:t>
      </w:r>
      <w:proofErr w:type="spellStart"/>
      <w:r w:rsidRPr="00154A79">
        <w:rPr>
          <w:rFonts w:ascii="Times New Roman" w:hAnsi="Times New Roman"/>
        </w:rPr>
        <w:t>aaO</w:t>
      </w:r>
      <w:proofErr w:type="spellEnd"/>
      <w:r w:rsidRPr="00154A79">
        <w:rPr>
          <w:rFonts w:ascii="Times New Roman" w:hAnsi="Times New Roman"/>
        </w:rPr>
        <w:t xml:space="preserve">, § 20, Rn 4; </w:t>
      </w:r>
      <w:r w:rsidRPr="00154A79">
        <w:rPr>
          <w:rFonts w:ascii="Times New Roman" w:hAnsi="Times New Roman"/>
          <w:i/>
        </w:rPr>
        <w:t xml:space="preserve">Lackner/Kühl, </w:t>
      </w:r>
      <w:r w:rsidRPr="00154A79">
        <w:rPr>
          <w:rFonts w:ascii="Times New Roman" w:hAnsi="Times New Roman"/>
        </w:rPr>
        <w:t xml:space="preserve">§ 20, Rn 15; </w:t>
      </w:r>
      <w:r w:rsidRPr="00154A79">
        <w:rPr>
          <w:rFonts w:ascii="Times New Roman" w:hAnsi="Times New Roman"/>
          <w:i/>
        </w:rPr>
        <w:t xml:space="preserve">Tröndle/Fischer, </w:t>
      </w:r>
      <w:proofErr w:type="spellStart"/>
      <w:r w:rsidRPr="00154A79">
        <w:rPr>
          <w:rFonts w:ascii="Times New Roman" w:hAnsi="Times New Roman"/>
        </w:rPr>
        <w:t>aa</w:t>
      </w:r>
      <w:r w:rsidRPr="00154A79">
        <w:rPr>
          <w:rFonts w:ascii="Times New Roman" w:hAnsi="Times New Roman"/>
        </w:rPr>
        <w:t>O</w:t>
      </w:r>
      <w:proofErr w:type="spellEnd"/>
      <w:r w:rsidRPr="00154A79">
        <w:rPr>
          <w:rFonts w:ascii="Times New Roman" w:hAnsi="Times New Roman"/>
        </w:rPr>
        <w:t xml:space="preserve"> § 20, Rn 5a, alle m.w.N; BGH NStZ 1989, 430 gleichermaßen ausdrücklich für § 20 und § 21 StGB;</w:t>
      </w:r>
      <w:r w:rsidRPr="00154A79">
        <w:rPr>
          <w:rFonts w:ascii="Times New Roman" w:hAnsi="Times New Roman"/>
          <w:b/>
        </w:rPr>
        <w:t xml:space="preserve"> </w:t>
      </w:r>
      <w:r w:rsidRPr="00154A79">
        <w:rPr>
          <w:rFonts w:ascii="Times New Roman" w:hAnsi="Times New Roman"/>
        </w:rPr>
        <w:t>teilweise a.A. SK-</w:t>
      </w:r>
      <w:r w:rsidRPr="00154A79">
        <w:rPr>
          <w:rFonts w:ascii="Times New Roman" w:hAnsi="Times New Roman"/>
          <w:i/>
        </w:rPr>
        <w:t xml:space="preserve">Rudolphi, </w:t>
      </w:r>
      <w:proofErr w:type="spellStart"/>
      <w:r w:rsidRPr="00154A79">
        <w:rPr>
          <w:rFonts w:ascii="Times New Roman" w:hAnsi="Times New Roman"/>
        </w:rPr>
        <w:t>aaO</w:t>
      </w:r>
      <w:proofErr w:type="spellEnd"/>
      <w:r w:rsidRPr="00154A79">
        <w:rPr>
          <w:rFonts w:ascii="Times New Roman" w:hAnsi="Times New Roman"/>
        </w:rPr>
        <w:t>, § 20, Rn 16.</w:t>
      </w:r>
    </w:p>
  </w:footnote>
  <w:footnote w:id="2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i/>
        </w:rPr>
        <w:tab/>
        <w:t xml:space="preserve">Maurach/Zipf, </w:t>
      </w:r>
      <w:proofErr w:type="spellStart"/>
      <w:r w:rsidRPr="00154A79">
        <w:rPr>
          <w:rFonts w:ascii="Times New Roman" w:hAnsi="Times New Roman"/>
        </w:rPr>
        <w:t>aaO</w:t>
      </w:r>
      <w:proofErr w:type="spellEnd"/>
      <w:r w:rsidRPr="00154A79">
        <w:rPr>
          <w:rFonts w:ascii="Times New Roman" w:hAnsi="Times New Roman"/>
        </w:rPr>
        <w:t>, § 38 III, 3, Rn 42.</w:t>
      </w:r>
    </w:p>
  </w:footnote>
  <w:footnote w:id="23">
    <w:p w:rsidR="00000000" w:rsidRPr="00154A79" w:rsidRDefault="00046A2F" w:rsidP="00154A79">
      <w:pPr>
        <w:pStyle w:val="Funotentext"/>
        <w:spacing w:before="120"/>
        <w:ind w:left="0"/>
        <w:jc w:val="both"/>
        <w:rPr>
          <w:rFonts w:ascii="Times New Roman" w:hAnsi="Times New Roman"/>
          <w:lang w:val="en-GB"/>
        </w:rPr>
      </w:pPr>
      <w:r w:rsidRPr="00154A79">
        <w:rPr>
          <w:rStyle w:val="Funotenzeichen"/>
          <w:rFonts w:ascii="Times New Roman" w:hAnsi="Times New Roman"/>
        </w:rPr>
        <w:footnoteRef/>
      </w:r>
      <w:r w:rsidRPr="00154A79">
        <w:rPr>
          <w:rFonts w:ascii="Times New Roman" w:hAnsi="Times New Roman"/>
        </w:rPr>
        <w:tab/>
        <w:t>S/S-</w:t>
      </w:r>
      <w:r w:rsidRPr="00154A79">
        <w:rPr>
          <w:rFonts w:ascii="Times New Roman" w:hAnsi="Times New Roman"/>
          <w:i/>
        </w:rPr>
        <w:t xml:space="preserve">Lenckner, </w:t>
      </w:r>
      <w:proofErr w:type="spellStart"/>
      <w:r w:rsidRPr="00154A79">
        <w:rPr>
          <w:rFonts w:ascii="Times New Roman" w:hAnsi="Times New Roman"/>
        </w:rPr>
        <w:t>aaO</w:t>
      </w:r>
      <w:proofErr w:type="spellEnd"/>
      <w:r w:rsidRPr="00154A79">
        <w:rPr>
          <w:rFonts w:ascii="Times New Roman" w:hAnsi="Times New Roman"/>
        </w:rPr>
        <w:t xml:space="preserve">, § 20, Rn 4 und 27; </w:t>
      </w:r>
      <w:r w:rsidRPr="00154A79">
        <w:rPr>
          <w:rFonts w:ascii="Times New Roman" w:hAnsi="Times New Roman"/>
          <w:i/>
        </w:rPr>
        <w:t xml:space="preserve">Schreiber, </w:t>
      </w:r>
      <w:r w:rsidRPr="00154A79">
        <w:rPr>
          <w:rFonts w:ascii="Times New Roman" w:hAnsi="Times New Roman"/>
        </w:rPr>
        <w:t>Rechtliche Grundlagen</w:t>
      </w:r>
      <w:r w:rsidRPr="00154A79">
        <w:rPr>
          <w:rFonts w:ascii="Times New Roman" w:hAnsi="Times New Roman"/>
        </w:rPr>
        <w:t xml:space="preserve"> der psychiatrischen Begutachtung, in: </w:t>
      </w:r>
      <w:proofErr w:type="spellStart"/>
      <w:r w:rsidRPr="00154A79">
        <w:rPr>
          <w:rFonts w:ascii="Times New Roman" w:hAnsi="Times New Roman"/>
        </w:rPr>
        <w:t>Venz</w:t>
      </w:r>
      <w:r w:rsidRPr="00154A79">
        <w:rPr>
          <w:rFonts w:ascii="Times New Roman" w:hAnsi="Times New Roman"/>
        </w:rPr>
        <w:softHyphen/>
        <w:t>laff</w:t>
      </w:r>
      <w:proofErr w:type="spellEnd"/>
      <w:r w:rsidRPr="00154A79">
        <w:rPr>
          <w:rFonts w:ascii="Times New Roman" w:hAnsi="Times New Roman"/>
        </w:rPr>
        <w:t>/Foerster, Psychiatrische Begutachtung, 2. </w:t>
      </w:r>
      <w:proofErr w:type="spellStart"/>
      <w:r w:rsidRPr="00154A79">
        <w:rPr>
          <w:rFonts w:ascii="Times New Roman" w:hAnsi="Times New Roman"/>
          <w:lang w:val="en-GB"/>
        </w:rPr>
        <w:t>Aufl</w:t>
      </w:r>
      <w:proofErr w:type="spellEnd"/>
      <w:r w:rsidRPr="00154A79">
        <w:rPr>
          <w:rFonts w:ascii="Times New Roman" w:hAnsi="Times New Roman"/>
          <w:lang w:val="en-GB"/>
        </w:rPr>
        <w:t>., Stuttgart, Jena, New York 1994, S. 28.</w:t>
      </w:r>
    </w:p>
  </w:footnote>
  <w:footnote w:id="2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So aber </w:t>
      </w:r>
      <w:r w:rsidRPr="00154A79">
        <w:rPr>
          <w:rFonts w:ascii="Times New Roman" w:hAnsi="Times New Roman"/>
          <w:i/>
        </w:rPr>
        <w:t>A. Kaufmann,</w:t>
      </w:r>
      <w:r w:rsidRPr="00154A79">
        <w:rPr>
          <w:rFonts w:ascii="Times New Roman" w:hAnsi="Times New Roman"/>
        </w:rPr>
        <w:t xml:space="preserve"> Schuldfähigkeit und Verbotsirrtum, in: Festschrift für Eberhard Schmidt,</w:t>
      </w:r>
      <w:r w:rsidRPr="00154A79">
        <w:rPr>
          <w:rFonts w:ascii="Times New Roman" w:hAnsi="Times New Roman"/>
          <w:i/>
        </w:rPr>
        <w:t xml:space="preserve"> </w:t>
      </w:r>
      <w:r w:rsidRPr="00154A79">
        <w:rPr>
          <w:rFonts w:ascii="Times New Roman" w:hAnsi="Times New Roman"/>
        </w:rPr>
        <w:t>hrsg. von Bockelmann u</w:t>
      </w:r>
      <w:r w:rsidRPr="00154A79">
        <w:rPr>
          <w:rFonts w:ascii="Times New Roman" w:hAnsi="Times New Roman"/>
        </w:rPr>
        <w:t>nd Gallas, Neudruck der Ausgabe Göttingen 1961, Aalen 1971, S. 322 und 324</w:t>
      </w:r>
      <w:r w:rsidRPr="00154A79">
        <w:rPr>
          <w:rFonts w:ascii="Times New Roman" w:hAnsi="Times New Roman"/>
          <w:i/>
        </w:rPr>
        <w:t>.</w:t>
      </w:r>
    </w:p>
  </w:footnote>
  <w:footnote w:id="2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ab/>
      </w:r>
      <w:r w:rsidRPr="00154A79">
        <w:rPr>
          <w:rFonts w:ascii="Times New Roman" w:hAnsi="Times New Roman"/>
          <w:i/>
        </w:rPr>
        <w:t xml:space="preserve">Maurach/Zipf, </w:t>
      </w:r>
      <w:proofErr w:type="spellStart"/>
      <w:r w:rsidRPr="00154A79">
        <w:rPr>
          <w:rFonts w:ascii="Times New Roman" w:hAnsi="Times New Roman"/>
        </w:rPr>
        <w:t>aaO</w:t>
      </w:r>
      <w:proofErr w:type="spellEnd"/>
      <w:r w:rsidRPr="00154A79">
        <w:rPr>
          <w:rFonts w:ascii="Times New Roman" w:hAnsi="Times New Roman"/>
        </w:rPr>
        <w:t>, § 38 III, 3, Rn 43.</w:t>
      </w:r>
    </w:p>
  </w:footnote>
  <w:footnote w:id="2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BGH NStZ-RR 1999, S. 207; NStZ 1986, S. 264.</w:t>
      </w:r>
    </w:p>
  </w:footnote>
  <w:footnote w:id="27">
    <w:p w:rsidR="00000000" w:rsidRPr="00154A79" w:rsidRDefault="00046A2F" w:rsidP="00154A79">
      <w:pPr>
        <w:pStyle w:val="Funotentext"/>
        <w:spacing w:before="120"/>
        <w:ind w:left="0"/>
        <w:jc w:val="both"/>
        <w:rPr>
          <w:rFonts w:ascii="Times New Roman" w:hAnsi="Times New Roman"/>
          <w:lang w:val="en-GB"/>
        </w:rPr>
      </w:pPr>
      <w:r w:rsidRPr="00154A79">
        <w:rPr>
          <w:rStyle w:val="Funotenzeichen"/>
          <w:rFonts w:ascii="Times New Roman" w:hAnsi="Times New Roman"/>
        </w:rPr>
        <w:footnoteRef/>
      </w:r>
      <w:r w:rsidRPr="00154A79">
        <w:rPr>
          <w:rFonts w:ascii="Times New Roman" w:hAnsi="Times New Roman"/>
          <w:lang w:val="en-GB"/>
        </w:rPr>
        <w:t xml:space="preserve"> </w:t>
      </w:r>
      <w:r w:rsidRPr="00154A79">
        <w:rPr>
          <w:rFonts w:ascii="Times New Roman" w:hAnsi="Times New Roman"/>
          <w:lang w:val="en-GB"/>
        </w:rPr>
        <w:tab/>
        <w:t>SK-</w:t>
      </w:r>
      <w:proofErr w:type="spellStart"/>
      <w:r w:rsidRPr="00154A79">
        <w:rPr>
          <w:rFonts w:ascii="Times New Roman" w:hAnsi="Times New Roman"/>
          <w:i/>
          <w:lang w:val="en-GB"/>
        </w:rPr>
        <w:t>Rudolphi</w:t>
      </w:r>
      <w:proofErr w:type="spellEnd"/>
      <w:r w:rsidRPr="00154A79">
        <w:rPr>
          <w:rFonts w:ascii="Times New Roman" w:hAnsi="Times New Roman"/>
          <w:i/>
          <w:lang w:val="en-GB"/>
        </w:rPr>
        <w:t xml:space="preserve">, </w:t>
      </w:r>
      <w:r w:rsidRPr="00154A79">
        <w:rPr>
          <w:rFonts w:ascii="Times New Roman" w:hAnsi="Times New Roman"/>
          <w:lang w:val="en-GB"/>
        </w:rPr>
        <w:t>§ 21, Rn 4.</w:t>
      </w:r>
    </w:p>
  </w:footnote>
  <w:footnote w:id="2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ab/>
      </w:r>
      <w:r w:rsidRPr="00154A79">
        <w:rPr>
          <w:rFonts w:ascii="Times New Roman" w:hAnsi="Times New Roman"/>
        </w:rPr>
        <w:t>S/S-</w:t>
      </w:r>
      <w:r w:rsidRPr="00154A79">
        <w:rPr>
          <w:rFonts w:ascii="Times New Roman" w:hAnsi="Times New Roman"/>
          <w:i/>
        </w:rPr>
        <w:t xml:space="preserve">Lenckner, </w:t>
      </w:r>
      <w:proofErr w:type="spellStart"/>
      <w:r w:rsidRPr="00154A79">
        <w:rPr>
          <w:rFonts w:ascii="Times New Roman" w:hAnsi="Times New Roman"/>
        </w:rPr>
        <w:t>aaO</w:t>
      </w:r>
      <w:proofErr w:type="spellEnd"/>
      <w:r w:rsidRPr="00154A79">
        <w:rPr>
          <w:rFonts w:ascii="Times New Roman" w:hAnsi="Times New Roman"/>
        </w:rPr>
        <w:t xml:space="preserve">, § 21, Rn 7; </w:t>
      </w:r>
      <w:r w:rsidRPr="00154A79">
        <w:rPr>
          <w:rFonts w:ascii="Times New Roman" w:hAnsi="Times New Roman"/>
          <w:i/>
        </w:rPr>
        <w:t xml:space="preserve">Wolfslast, </w:t>
      </w:r>
      <w:r w:rsidRPr="00154A79">
        <w:rPr>
          <w:rFonts w:ascii="Times New Roman" w:hAnsi="Times New Roman"/>
        </w:rPr>
        <w:t>Die Regelung der Sch</w:t>
      </w:r>
      <w:r w:rsidRPr="00154A79">
        <w:rPr>
          <w:rFonts w:ascii="Times New Roman" w:hAnsi="Times New Roman"/>
        </w:rPr>
        <w:t>uldfähigkeit im StGB, JA 1981, S. 470.</w:t>
      </w:r>
    </w:p>
  </w:footnote>
  <w:footnote w:id="2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Tröndle/Fischer, </w:t>
      </w:r>
      <w:r w:rsidRPr="00154A79">
        <w:rPr>
          <w:rFonts w:ascii="Times New Roman" w:hAnsi="Times New Roman"/>
        </w:rPr>
        <w:t xml:space="preserve">§ 21, Rn 3; </w:t>
      </w:r>
      <w:proofErr w:type="spellStart"/>
      <w:r w:rsidRPr="00154A79">
        <w:rPr>
          <w:rFonts w:ascii="Times New Roman" w:hAnsi="Times New Roman"/>
          <w:i/>
        </w:rPr>
        <w:t>Jescheck</w:t>
      </w:r>
      <w:proofErr w:type="spellEnd"/>
      <w:r w:rsidRPr="00154A79">
        <w:rPr>
          <w:rFonts w:ascii="Times New Roman" w:hAnsi="Times New Roman"/>
          <w:i/>
        </w:rPr>
        <w:t>/</w:t>
      </w:r>
      <w:proofErr w:type="spellStart"/>
      <w:r w:rsidRPr="00154A79">
        <w:rPr>
          <w:rFonts w:ascii="Times New Roman" w:hAnsi="Times New Roman"/>
          <w:i/>
        </w:rPr>
        <w:t>Weigend</w:t>
      </w:r>
      <w:proofErr w:type="spellEnd"/>
      <w:r w:rsidRPr="00154A79">
        <w:rPr>
          <w:rFonts w:ascii="Times New Roman" w:hAnsi="Times New Roman"/>
          <w:i/>
        </w:rPr>
        <w:t xml:space="preserve">, </w:t>
      </w:r>
      <w:r w:rsidRPr="00154A79">
        <w:rPr>
          <w:rFonts w:ascii="Times New Roman" w:hAnsi="Times New Roman"/>
        </w:rPr>
        <w:t xml:space="preserve">§ 40 IV 1 Fn 50, </w:t>
      </w:r>
      <w:r w:rsidRPr="00154A79">
        <w:rPr>
          <w:rFonts w:ascii="Times New Roman" w:hAnsi="Times New Roman"/>
          <w:i/>
        </w:rPr>
        <w:t>Maurach/Zipf</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 36 III A, Rn 74;</w:t>
      </w:r>
      <w:r w:rsidRPr="00154A79">
        <w:rPr>
          <w:rFonts w:ascii="Times New Roman" w:hAnsi="Times New Roman"/>
          <w:b/>
        </w:rPr>
        <w:t xml:space="preserve"> </w:t>
      </w:r>
      <w:r w:rsidRPr="00154A79">
        <w:rPr>
          <w:rFonts w:ascii="Times New Roman" w:hAnsi="Times New Roman"/>
        </w:rPr>
        <w:t>S/S-</w:t>
      </w:r>
      <w:proofErr w:type="spellStart"/>
      <w:proofErr w:type="gramStart"/>
      <w:r w:rsidRPr="00154A79">
        <w:rPr>
          <w:rFonts w:ascii="Times New Roman" w:hAnsi="Times New Roman"/>
          <w:i/>
        </w:rPr>
        <w:t>Lenckner,</w:t>
      </w:r>
      <w:r w:rsidRPr="00154A79">
        <w:rPr>
          <w:rFonts w:ascii="Times New Roman" w:hAnsi="Times New Roman"/>
        </w:rPr>
        <w:t>aaO</w:t>
      </w:r>
      <w:proofErr w:type="spellEnd"/>
      <w:proofErr w:type="gramEnd"/>
      <w:r w:rsidRPr="00154A79">
        <w:rPr>
          <w:rFonts w:ascii="Times New Roman" w:hAnsi="Times New Roman"/>
        </w:rPr>
        <w:t>, § 21, Rn 7;</w:t>
      </w:r>
      <w:r w:rsidRPr="00154A79">
        <w:rPr>
          <w:rFonts w:ascii="Times New Roman" w:hAnsi="Times New Roman"/>
          <w:b/>
          <w:i/>
        </w:rPr>
        <w:t xml:space="preserve"> </w:t>
      </w:r>
      <w:r w:rsidRPr="00154A79">
        <w:rPr>
          <w:rFonts w:ascii="Times New Roman" w:hAnsi="Times New Roman"/>
        </w:rPr>
        <w:t>kritisch SK-</w:t>
      </w:r>
      <w:r w:rsidRPr="00154A79">
        <w:rPr>
          <w:rFonts w:ascii="Times New Roman" w:hAnsi="Times New Roman"/>
          <w:i/>
        </w:rPr>
        <w:t xml:space="preserve">Rudolphi, </w:t>
      </w:r>
      <w:proofErr w:type="spellStart"/>
      <w:r w:rsidRPr="00154A79">
        <w:rPr>
          <w:rFonts w:ascii="Times New Roman" w:hAnsi="Times New Roman"/>
        </w:rPr>
        <w:t>aaO</w:t>
      </w:r>
      <w:proofErr w:type="spellEnd"/>
      <w:r w:rsidRPr="00154A79">
        <w:rPr>
          <w:rFonts w:ascii="Times New Roman" w:hAnsi="Times New Roman"/>
        </w:rPr>
        <w:t>, § 20, Rn 4.</w:t>
      </w:r>
      <w:r w:rsidRPr="00154A79">
        <w:rPr>
          <w:rFonts w:ascii="Times New Roman" w:hAnsi="Times New Roman"/>
          <w:b/>
        </w:rPr>
        <w:t xml:space="preserve"> </w:t>
      </w:r>
    </w:p>
  </w:footnote>
  <w:footnote w:id="3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Es ist nicht erforderlich, dass eines der</w:t>
      </w:r>
      <w:r w:rsidRPr="00154A79">
        <w:rPr>
          <w:rFonts w:ascii="Times New Roman" w:hAnsi="Times New Roman"/>
        </w:rPr>
        <w:t xml:space="preserve"> Merkmale für sich allein die Schuldfähigkeit einschränkt oder ausschließt, </w:t>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 20, Rn 12; SK-</w:t>
      </w:r>
      <w:r w:rsidRPr="00154A79">
        <w:rPr>
          <w:rFonts w:ascii="Times New Roman" w:hAnsi="Times New Roman"/>
          <w:i/>
        </w:rPr>
        <w:t xml:space="preserve">Rudolphi, </w:t>
      </w:r>
      <w:r w:rsidRPr="00154A79">
        <w:rPr>
          <w:rFonts w:ascii="Times New Roman" w:hAnsi="Times New Roman"/>
        </w:rPr>
        <w:t>§ 20, Rn 5a; BGH StV 2000, 17 f.</w:t>
      </w:r>
    </w:p>
  </w:footnote>
  <w:footnote w:id="3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proofErr w:type="spellStart"/>
      <w:r w:rsidRPr="00154A79">
        <w:rPr>
          <w:rFonts w:ascii="Times New Roman" w:hAnsi="Times New Roman"/>
          <w:i/>
        </w:rPr>
        <w:t>Jescheck</w:t>
      </w:r>
      <w:proofErr w:type="spellEnd"/>
      <w:r w:rsidRPr="00154A79">
        <w:rPr>
          <w:rFonts w:ascii="Times New Roman" w:hAnsi="Times New Roman"/>
          <w:i/>
        </w:rPr>
        <w:t>/</w:t>
      </w:r>
      <w:proofErr w:type="spellStart"/>
      <w:r w:rsidRPr="00154A79">
        <w:rPr>
          <w:rFonts w:ascii="Times New Roman" w:hAnsi="Times New Roman"/>
          <w:i/>
        </w:rPr>
        <w:t>Weigend</w:t>
      </w:r>
      <w:proofErr w:type="spellEnd"/>
      <w:r w:rsidRPr="00154A79">
        <w:rPr>
          <w:rFonts w:ascii="Times New Roman" w:hAnsi="Times New Roman"/>
          <w:i/>
        </w:rPr>
        <w:t xml:space="preserve">, </w:t>
      </w:r>
      <w:proofErr w:type="spellStart"/>
      <w:r w:rsidRPr="00154A79">
        <w:rPr>
          <w:rFonts w:ascii="Times New Roman" w:hAnsi="Times New Roman"/>
        </w:rPr>
        <w:t>aaO</w:t>
      </w:r>
      <w:proofErr w:type="spellEnd"/>
      <w:r w:rsidRPr="00154A79">
        <w:rPr>
          <w:rFonts w:ascii="Times New Roman" w:hAnsi="Times New Roman"/>
        </w:rPr>
        <w:t>, § 40 III 2</w:t>
      </w:r>
      <w:r w:rsidRPr="00154A79">
        <w:rPr>
          <w:rFonts w:ascii="Times New Roman" w:hAnsi="Times New Roman"/>
          <w:i/>
        </w:rPr>
        <w:t xml:space="preserve">; </w:t>
      </w:r>
      <w:r w:rsidRPr="00154A79">
        <w:rPr>
          <w:rFonts w:ascii="Times New Roman" w:hAnsi="Times New Roman"/>
        </w:rPr>
        <w:t>Tröndle/Fischer, § 20, Rn 7; teilweise abweichend jedoch SK-Rudol</w:t>
      </w:r>
      <w:r w:rsidRPr="00154A79">
        <w:rPr>
          <w:rFonts w:ascii="Times New Roman" w:hAnsi="Times New Roman"/>
        </w:rPr>
        <w:t>phi, § 20, Rn 5, der die analoge Anwendung ausnahmsweise zulassen will, wenn es sich um Persönlichkeitsdefekte handelt, die erst nach Erlaß des Gesetzes von der medizinischen Wissen</w:t>
      </w:r>
      <w:r w:rsidRPr="00154A79">
        <w:rPr>
          <w:rFonts w:ascii="Times New Roman" w:hAnsi="Times New Roman"/>
        </w:rPr>
        <w:softHyphen/>
        <w:t>schaft in ihrer die Sinngesetzlichkeit menschlichen Handelns beeinträchtig</w:t>
      </w:r>
      <w:r w:rsidRPr="00154A79">
        <w:rPr>
          <w:rFonts w:ascii="Times New Roman" w:hAnsi="Times New Roman"/>
        </w:rPr>
        <w:t xml:space="preserve">enden Wirkung erkannt werden. Zu Recht verneint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S. 12 mit Blick auf die Weite des 4. Merkmals jede Notwendigkeit für eine Analogie.</w:t>
      </w:r>
      <w:r w:rsidRPr="00154A79">
        <w:rPr>
          <w:rFonts w:ascii="Times New Roman" w:hAnsi="Times New Roman"/>
        </w:rPr>
        <w:tab/>
      </w:r>
    </w:p>
  </w:footnote>
  <w:footnote w:id="3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SK-</w:t>
      </w:r>
      <w:r w:rsidRPr="00154A79">
        <w:rPr>
          <w:rFonts w:ascii="Times New Roman" w:hAnsi="Times New Roman"/>
          <w:i/>
        </w:rPr>
        <w:t xml:space="preserve">Rudolphi, </w:t>
      </w:r>
      <w:r w:rsidRPr="00154A79">
        <w:rPr>
          <w:rFonts w:ascii="Times New Roman" w:hAnsi="Times New Roman"/>
        </w:rPr>
        <w:t>§ 20, Rn 3 und 4.</w:t>
      </w:r>
    </w:p>
  </w:footnote>
  <w:footnote w:id="3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S. 11; </w:t>
      </w:r>
      <w:r w:rsidRPr="00154A79">
        <w:rPr>
          <w:rFonts w:ascii="Times New Roman" w:hAnsi="Times New Roman"/>
          <w:i/>
        </w:rPr>
        <w:t xml:space="preserve">Lenckner, </w:t>
      </w:r>
      <w:r w:rsidRPr="00154A79">
        <w:rPr>
          <w:rFonts w:ascii="Times New Roman" w:hAnsi="Times New Roman"/>
        </w:rPr>
        <w:t>Strafe, Schuld und Schuldfähigkeit, S.</w:t>
      </w:r>
      <w:r w:rsidRPr="00154A79">
        <w:rPr>
          <w:rFonts w:ascii="Times New Roman" w:hAnsi="Times New Roman"/>
        </w:rPr>
        <w:t xml:space="preserve"> 93. </w:t>
      </w:r>
    </w:p>
  </w:footnote>
  <w:footnote w:id="3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Eingehend zur Gesetzgebungsgeschichte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S. 12 ff.; ferner </w:t>
      </w:r>
      <w:r w:rsidRPr="00154A79">
        <w:rPr>
          <w:rFonts w:ascii="Times New Roman" w:hAnsi="Times New Roman"/>
          <w:i/>
        </w:rPr>
        <w:t xml:space="preserve">Wolfslast, </w:t>
      </w:r>
      <w:proofErr w:type="spellStart"/>
      <w:r w:rsidRPr="00154A79">
        <w:rPr>
          <w:rFonts w:ascii="Times New Roman" w:hAnsi="Times New Roman"/>
        </w:rPr>
        <w:t>aaO</w:t>
      </w:r>
      <w:proofErr w:type="spellEnd"/>
      <w:r w:rsidRPr="00154A79">
        <w:rPr>
          <w:rFonts w:ascii="Times New Roman" w:hAnsi="Times New Roman"/>
        </w:rPr>
        <w:t>, S. 466.</w:t>
      </w:r>
    </w:p>
  </w:footnote>
  <w:footnote w:id="3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Vgl. </w:t>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xml:space="preserve">, § 20, Rn 1; </w:t>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xml:space="preserve">, § 20, Rn 3;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S. 11; </w:t>
      </w:r>
      <w:r w:rsidRPr="00154A79">
        <w:rPr>
          <w:rFonts w:ascii="Times New Roman" w:hAnsi="Times New Roman"/>
          <w:i/>
        </w:rPr>
        <w:t xml:space="preserve">Blau/Franke, </w:t>
      </w:r>
      <w:r w:rsidRPr="00154A79">
        <w:rPr>
          <w:rFonts w:ascii="Times New Roman" w:hAnsi="Times New Roman"/>
        </w:rPr>
        <w:t>JA 1982, S. 402.</w:t>
      </w:r>
    </w:p>
  </w:footnote>
  <w:footnote w:id="3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S. 12;</w:t>
      </w:r>
      <w:r w:rsidRPr="00154A79">
        <w:rPr>
          <w:rFonts w:ascii="Times New Roman" w:hAnsi="Times New Roman"/>
          <w:b/>
        </w:rPr>
        <w:t xml:space="preserve"> </w:t>
      </w:r>
      <w:r w:rsidRPr="00154A79">
        <w:rPr>
          <w:rFonts w:ascii="Times New Roman" w:hAnsi="Times New Roman"/>
        </w:rPr>
        <w:t>S</w:t>
      </w:r>
      <w:r w:rsidRPr="00154A79">
        <w:rPr>
          <w:rFonts w:ascii="Times New Roman" w:hAnsi="Times New Roman"/>
        </w:rPr>
        <w:t>/S-</w:t>
      </w:r>
      <w:r w:rsidRPr="00154A79">
        <w:rPr>
          <w:rFonts w:ascii="Times New Roman" w:hAnsi="Times New Roman"/>
          <w:i/>
        </w:rPr>
        <w:t xml:space="preserve">Lenckner, </w:t>
      </w:r>
      <w:proofErr w:type="spellStart"/>
      <w:r w:rsidRPr="00154A79">
        <w:rPr>
          <w:rFonts w:ascii="Times New Roman" w:hAnsi="Times New Roman"/>
        </w:rPr>
        <w:t>aaO</w:t>
      </w:r>
      <w:proofErr w:type="spellEnd"/>
      <w:r w:rsidRPr="00154A79">
        <w:rPr>
          <w:rFonts w:ascii="Times New Roman" w:hAnsi="Times New Roman"/>
        </w:rPr>
        <w:t>, § 20, Rn 1.</w:t>
      </w:r>
    </w:p>
  </w:footnote>
  <w:footnote w:id="3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 20, Rn 4.</w:t>
      </w:r>
      <w:r w:rsidRPr="00154A79">
        <w:rPr>
          <w:rFonts w:ascii="Times New Roman" w:hAnsi="Times New Roman"/>
          <w:b/>
        </w:rPr>
        <w:t xml:space="preserve"> </w:t>
      </w:r>
      <w:r w:rsidRPr="00154A79">
        <w:rPr>
          <w:rFonts w:ascii="Times New Roman" w:hAnsi="Times New Roman"/>
        </w:rPr>
        <w:t xml:space="preserve">Vgl. dazu aus psychiatrischer Sicht </w:t>
      </w:r>
      <w:proofErr w:type="spellStart"/>
      <w:r w:rsidRPr="00154A79">
        <w:rPr>
          <w:rFonts w:ascii="Times New Roman" w:hAnsi="Times New Roman"/>
          <w:i/>
        </w:rPr>
        <w:t>Venzlaff</w:t>
      </w:r>
      <w:proofErr w:type="spellEnd"/>
      <w:r w:rsidRPr="00154A79">
        <w:rPr>
          <w:rFonts w:ascii="Times New Roman" w:hAnsi="Times New Roman"/>
          <w:i/>
        </w:rPr>
        <w:t xml:space="preserve">, </w:t>
      </w:r>
      <w:r w:rsidRPr="00154A79">
        <w:rPr>
          <w:rFonts w:ascii="Times New Roman" w:hAnsi="Times New Roman"/>
        </w:rPr>
        <w:t>Methodische und praktische Probleme der forensisch-psychiatrischen Begutachtung, S. 105.</w:t>
      </w:r>
    </w:p>
  </w:footnote>
  <w:footnote w:id="3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b/>
        </w:rPr>
        <w:tab/>
      </w:r>
      <w:r w:rsidRPr="00154A79">
        <w:rPr>
          <w:rFonts w:ascii="Times New Roman" w:hAnsi="Times New Roman"/>
        </w:rPr>
        <w:t>BGH NStZ 1999, S. 128. Vgl. auch BGH StV 1992, S. 31</w:t>
      </w:r>
      <w:r w:rsidRPr="00154A79">
        <w:rPr>
          <w:rFonts w:ascii="Times New Roman" w:hAnsi="Times New Roman"/>
        </w:rPr>
        <w:t>6 und BGHSt 37, 401.</w:t>
      </w:r>
    </w:p>
  </w:footnote>
  <w:footnote w:id="3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S/S-Lenckner, </w:t>
      </w:r>
      <w:proofErr w:type="spellStart"/>
      <w:r w:rsidRPr="00154A79">
        <w:rPr>
          <w:rFonts w:ascii="Times New Roman" w:hAnsi="Times New Roman"/>
        </w:rPr>
        <w:t>aaO</w:t>
      </w:r>
      <w:proofErr w:type="spellEnd"/>
      <w:r w:rsidRPr="00154A79">
        <w:rPr>
          <w:rFonts w:ascii="Times New Roman" w:hAnsi="Times New Roman"/>
        </w:rPr>
        <w:t xml:space="preserve">, § 20, Rn 6 </w:t>
      </w:r>
      <w:proofErr w:type="gramStart"/>
      <w:r w:rsidRPr="00154A79">
        <w:rPr>
          <w:rFonts w:ascii="Times New Roman" w:hAnsi="Times New Roman"/>
        </w:rPr>
        <w:t>ff. ;</w:t>
      </w:r>
      <w:proofErr w:type="gramEnd"/>
      <w:r w:rsidRPr="00154A79">
        <w:rPr>
          <w:rFonts w:ascii="Times New Roman" w:hAnsi="Times New Roman"/>
        </w:rPr>
        <w:t xml:space="preserve"> SK-Rudolphi, </w:t>
      </w:r>
      <w:proofErr w:type="spellStart"/>
      <w:r w:rsidRPr="00154A79">
        <w:rPr>
          <w:rFonts w:ascii="Times New Roman" w:hAnsi="Times New Roman"/>
        </w:rPr>
        <w:t>aaO</w:t>
      </w:r>
      <w:proofErr w:type="spellEnd"/>
      <w:r w:rsidRPr="00154A79">
        <w:rPr>
          <w:rFonts w:ascii="Times New Roman" w:hAnsi="Times New Roman"/>
        </w:rPr>
        <w:t>, § 20, Rn 6</w:t>
      </w:r>
      <w:r w:rsidRPr="00154A79">
        <w:rPr>
          <w:rFonts w:ascii="Times New Roman" w:hAnsi="Times New Roman"/>
          <w:b/>
        </w:rPr>
        <w:t xml:space="preserve">; </w:t>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xml:space="preserve">, § 20, Rn 3;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S. 17.</w:t>
      </w:r>
      <w:r w:rsidRPr="00154A79">
        <w:rPr>
          <w:rFonts w:ascii="Times New Roman" w:hAnsi="Times New Roman"/>
          <w:b/>
        </w:rPr>
        <w:t xml:space="preserve"> </w:t>
      </w:r>
    </w:p>
  </w:footnote>
  <w:footnote w:id="4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Eine übersichtliche Aufstellung enthält </w:t>
      </w:r>
      <w:r w:rsidRPr="00154A79">
        <w:rPr>
          <w:rFonts w:ascii="Times New Roman" w:hAnsi="Times New Roman"/>
          <w:i/>
        </w:rPr>
        <w:t xml:space="preserve">Schöch, </w:t>
      </w:r>
      <w:r w:rsidRPr="00154A79">
        <w:rPr>
          <w:rFonts w:ascii="Times New Roman" w:hAnsi="Times New Roman"/>
        </w:rPr>
        <w:t>in: Juristischer Studienkurs, Kriminologie, Jugend</w:t>
      </w:r>
      <w:r w:rsidRPr="00154A79">
        <w:rPr>
          <w:rFonts w:ascii="Times New Roman" w:hAnsi="Times New Roman"/>
        </w:rPr>
        <w:softHyphen/>
        <w:t>strafrecht,</w:t>
      </w:r>
      <w:r w:rsidRPr="00154A79">
        <w:rPr>
          <w:rFonts w:ascii="Times New Roman" w:hAnsi="Times New Roman"/>
        </w:rPr>
        <w:t xml:space="preserve"> Strafvollzug, hrsg. von Kaiser und Schöch, 4. Aufl., München 1994, Fall 6, Rn 11 und 12; sieh auch </w:t>
      </w:r>
      <w:r w:rsidRPr="00154A79">
        <w:rPr>
          <w:rFonts w:ascii="Times New Roman" w:hAnsi="Times New Roman"/>
          <w:i/>
        </w:rPr>
        <w:t xml:space="preserve">Rasch, </w:t>
      </w:r>
      <w:r w:rsidRPr="00154A79">
        <w:rPr>
          <w:rFonts w:ascii="Times New Roman" w:hAnsi="Times New Roman"/>
        </w:rPr>
        <w:t>Die Zuordnung der psychiatrisch-psychologischen Diagnosen zu den vier psychischen Merkmalen der §§ 20, 21 StGB, StV 1984, S. 268.</w:t>
      </w:r>
    </w:p>
  </w:footnote>
  <w:footnote w:id="4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S/S-</w:t>
      </w:r>
      <w:r w:rsidRPr="00154A79">
        <w:rPr>
          <w:rFonts w:ascii="Times New Roman" w:hAnsi="Times New Roman"/>
          <w:i/>
        </w:rPr>
        <w:t xml:space="preserve">Lenckner, </w:t>
      </w:r>
      <w:r w:rsidRPr="00154A79">
        <w:rPr>
          <w:rFonts w:ascii="Times New Roman" w:hAnsi="Times New Roman"/>
        </w:rPr>
        <w:t xml:space="preserve">§ </w:t>
      </w:r>
      <w:r w:rsidRPr="00154A79">
        <w:rPr>
          <w:rFonts w:ascii="Times New Roman" w:hAnsi="Times New Roman"/>
        </w:rPr>
        <w:t xml:space="preserve">20, Rn 13;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S. 18.</w:t>
      </w:r>
    </w:p>
  </w:footnote>
  <w:footnote w:id="4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S. 18; </w:t>
      </w:r>
      <w:r w:rsidRPr="00154A79">
        <w:rPr>
          <w:rFonts w:ascii="Times New Roman" w:hAnsi="Times New Roman"/>
          <w:i/>
        </w:rPr>
        <w:t>Wolfslast,</w:t>
      </w:r>
      <w:r w:rsidRPr="00154A79">
        <w:rPr>
          <w:rFonts w:ascii="Times New Roman" w:hAnsi="Times New Roman"/>
          <w:b/>
          <w:i/>
        </w:rPr>
        <w:t xml:space="preserve"> </w:t>
      </w:r>
      <w:proofErr w:type="spellStart"/>
      <w:r w:rsidRPr="00154A79">
        <w:rPr>
          <w:rFonts w:ascii="Times New Roman" w:hAnsi="Times New Roman"/>
        </w:rPr>
        <w:t>aaO</w:t>
      </w:r>
      <w:proofErr w:type="spellEnd"/>
      <w:r w:rsidRPr="00154A79">
        <w:rPr>
          <w:rFonts w:ascii="Times New Roman" w:hAnsi="Times New Roman"/>
        </w:rPr>
        <w:t>, S. 467,</w:t>
      </w:r>
      <w:r w:rsidRPr="00154A79">
        <w:rPr>
          <w:rFonts w:ascii="Times New Roman" w:hAnsi="Times New Roman"/>
          <w:b/>
        </w:rPr>
        <w:t xml:space="preserve"> </w:t>
      </w:r>
      <w:r w:rsidRPr="00154A79">
        <w:rPr>
          <w:rFonts w:ascii="Times New Roman" w:hAnsi="Times New Roman"/>
          <w:i/>
        </w:rPr>
        <w:t xml:space="preserve">Schöch, </w:t>
      </w:r>
      <w:proofErr w:type="spellStart"/>
      <w:r w:rsidRPr="00154A79">
        <w:rPr>
          <w:rFonts w:ascii="Times New Roman" w:hAnsi="Times New Roman"/>
        </w:rPr>
        <w:t>aaO</w:t>
      </w:r>
      <w:proofErr w:type="spellEnd"/>
      <w:r w:rsidRPr="00154A79">
        <w:rPr>
          <w:rFonts w:ascii="Times New Roman" w:hAnsi="Times New Roman"/>
        </w:rPr>
        <w:t>, Rn 13.</w:t>
      </w:r>
    </w:p>
  </w:footnote>
  <w:footnote w:id="4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S. 19.</w:t>
      </w:r>
    </w:p>
  </w:footnote>
  <w:footnote w:id="4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Kritisch teilweise der BGH gegenüber der Vorinstanz, vgl. BGHSt 34, 22 (24 f.) und 37, 397 (401)</w:t>
      </w:r>
      <w:r w:rsidRPr="00154A79">
        <w:rPr>
          <w:rFonts w:ascii="Times New Roman" w:hAnsi="Times New Roman"/>
          <w:b/>
        </w:rPr>
        <w:t>.</w:t>
      </w:r>
    </w:p>
  </w:footnote>
  <w:footnote w:id="4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 xml:space="preserve">Besonders </w:t>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w:t>
      </w:r>
      <w:r w:rsidRPr="00154A79">
        <w:rPr>
          <w:rFonts w:ascii="Times New Roman" w:hAnsi="Times New Roman"/>
        </w:rPr>
        <w:t>S. 19; LK-</w:t>
      </w:r>
      <w:r w:rsidRPr="00154A79">
        <w:rPr>
          <w:rFonts w:ascii="Times New Roman" w:hAnsi="Times New Roman"/>
          <w:i/>
        </w:rPr>
        <w:t>Jähnke</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 20, Rn 27.</w:t>
      </w:r>
    </w:p>
  </w:footnote>
  <w:footnote w:id="4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Schwind</w:t>
      </w:r>
      <w:r w:rsidRPr="00154A79">
        <w:rPr>
          <w:rFonts w:ascii="Times New Roman" w:hAnsi="Times New Roman"/>
        </w:rPr>
        <w:t>, Verbrechen und Schwachsinn, in: Handwörterbuch der Kriminologie, hrsg. von Sieverts und Schneider, Berlin, New York 1975, Band 3, S. 445; LK-</w:t>
      </w:r>
      <w:r w:rsidRPr="00154A79">
        <w:rPr>
          <w:rFonts w:ascii="Times New Roman" w:hAnsi="Times New Roman"/>
          <w:i/>
        </w:rPr>
        <w:t>Jähnke</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xml:space="preserve">, § 20, Rn 29. </w:t>
      </w:r>
    </w:p>
  </w:footnote>
  <w:footnote w:id="4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Schreiber, </w:t>
      </w:r>
      <w:proofErr w:type="spellStart"/>
      <w:r w:rsidRPr="00154A79">
        <w:rPr>
          <w:rFonts w:ascii="Times New Roman" w:hAnsi="Times New Roman"/>
        </w:rPr>
        <w:t>aaO</w:t>
      </w:r>
      <w:proofErr w:type="spellEnd"/>
      <w:r w:rsidRPr="00154A79">
        <w:rPr>
          <w:rFonts w:ascii="Times New Roman" w:hAnsi="Times New Roman"/>
        </w:rPr>
        <w:t xml:space="preserve">, S. 22; </w:t>
      </w:r>
      <w:r w:rsidRPr="00154A79">
        <w:rPr>
          <w:rFonts w:ascii="Times New Roman" w:hAnsi="Times New Roman"/>
          <w:i/>
        </w:rPr>
        <w:t xml:space="preserve">Rasch, </w:t>
      </w:r>
      <w:r w:rsidRPr="00154A79">
        <w:rPr>
          <w:rFonts w:ascii="Times New Roman" w:hAnsi="Times New Roman"/>
        </w:rPr>
        <w:t>Forensis</w:t>
      </w:r>
      <w:r w:rsidRPr="00154A79">
        <w:rPr>
          <w:rFonts w:ascii="Times New Roman" w:hAnsi="Times New Roman"/>
        </w:rPr>
        <w:t>che Psychiatrie, S. 258 f.</w:t>
      </w:r>
    </w:p>
  </w:footnote>
  <w:footnote w:id="4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Schwind, </w:t>
      </w:r>
      <w:proofErr w:type="spellStart"/>
      <w:r w:rsidRPr="00154A79">
        <w:rPr>
          <w:rFonts w:ascii="Times New Roman" w:hAnsi="Times New Roman"/>
        </w:rPr>
        <w:t>aaO</w:t>
      </w:r>
      <w:proofErr w:type="spellEnd"/>
      <w:r w:rsidRPr="00154A79">
        <w:rPr>
          <w:rFonts w:ascii="Times New Roman" w:hAnsi="Times New Roman"/>
        </w:rPr>
        <w:t>, S. 446.</w:t>
      </w:r>
    </w:p>
  </w:footnote>
  <w:footnote w:id="4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BGHSt 14, 30 (32); und 23, 190.</w:t>
      </w:r>
    </w:p>
  </w:footnote>
  <w:footnote w:id="5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Eingehend dazu 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xml:space="preserve">, § 20, Rn 20 ff. Siehe auch </w:t>
      </w:r>
      <w:r w:rsidRPr="00154A79">
        <w:rPr>
          <w:rFonts w:ascii="Times New Roman" w:hAnsi="Times New Roman"/>
          <w:i/>
        </w:rPr>
        <w:t xml:space="preserve">Rasch, </w:t>
      </w:r>
      <w:r w:rsidRPr="00154A79">
        <w:rPr>
          <w:rFonts w:ascii="Times New Roman" w:hAnsi="Times New Roman"/>
        </w:rPr>
        <w:t>StV 1984, S. 265.</w:t>
      </w:r>
    </w:p>
  </w:footnote>
  <w:footnote w:id="5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Siehe dazu </w:t>
      </w:r>
      <w:r w:rsidRPr="00154A79">
        <w:rPr>
          <w:rFonts w:ascii="Times New Roman" w:hAnsi="Times New Roman"/>
          <w:i/>
        </w:rPr>
        <w:t>Rasch,</w:t>
      </w:r>
      <w:r w:rsidRPr="00154A79">
        <w:rPr>
          <w:rFonts w:ascii="Times New Roman" w:hAnsi="Times New Roman"/>
        </w:rPr>
        <w:t xml:space="preserve"> Angst vor der Abartigkeit, NStZ 1982, S. 176 ff (181).</w:t>
      </w:r>
      <w:r w:rsidRPr="00154A79">
        <w:rPr>
          <w:rFonts w:ascii="Times New Roman" w:hAnsi="Times New Roman"/>
          <w:i/>
        </w:rPr>
        <w:t xml:space="preserve"> </w:t>
      </w:r>
    </w:p>
  </w:footnote>
  <w:footnote w:id="5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Schrei</w:t>
      </w:r>
      <w:r w:rsidRPr="00154A79">
        <w:rPr>
          <w:rFonts w:ascii="Times New Roman" w:hAnsi="Times New Roman"/>
          <w:i/>
        </w:rPr>
        <w:t xml:space="preserve">ber, </w:t>
      </w:r>
      <w:proofErr w:type="spellStart"/>
      <w:r w:rsidRPr="00154A79">
        <w:rPr>
          <w:rFonts w:ascii="Times New Roman" w:hAnsi="Times New Roman"/>
        </w:rPr>
        <w:t>aaO</w:t>
      </w:r>
      <w:proofErr w:type="spellEnd"/>
      <w:r w:rsidRPr="00154A79">
        <w:rPr>
          <w:rFonts w:ascii="Times New Roman" w:hAnsi="Times New Roman"/>
        </w:rPr>
        <w:t xml:space="preserve">, S. 22; </w:t>
      </w:r>
      <w:r w:rsidRPr="00154A79">
        <w:rPr>
          <w:rFonts w:ascii="Times New Roman" w:hAnsi="Times New Roman"/>
          <w:i/>
        </w:rPr>
        <w:t>Rasch</w:t>
      </w:r>
      <w:r w:rsidRPr="00154A79">
        <w:rPr>
          <w:rFonts w:ascii="Times New Roman" w:hAnsi="Times New Roman"/>
        </w:rPr>
        <w:t>, StV 1984 S. 266 und NStZ 1982, S. 176.</w:t>
      </w:r>
    </w:p>
  </w:footnote>
  <w:footnote w:id="5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 20, Rn 15.</w:t>
      </w:r>
    </w:p>
  </w:footnote>
  <w:footnote w:id="5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OLG Hamm, NJW 1977, S. 1498 (1499).</w:t>
      </w:r>
    </w:p>
  </w:footnote>
  <w:footnote w:id="5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BGH NStZ 1991, S. 31 (32) am Ende m.w.N.</w:t>
      </w:r>
    </w:p>
  </w:footnote>
  <w:footnote w:id="5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Vgl. auch LK-</w:t>
      </w:r>
      <w:r w:rsidRPr="00154A79">
        <w:rPr>
          <w:rFonts w:ascii="Times New Roman" w:hAnsi="Times New Roman"/>
          <w:i/>
        </w:rPr>
        <w:t xml:space="preserve">Jähnke, </w:t>
      </w:r>
      <w:proofErr w:type="spellStart"/>
      <w:r w:rsidRPr="00154A79">
        <w:rPr>
          <w:rFonts w:ascii="Times New Roman" w:hAnsi="Times New Roman"/>
        </w:rPr>
        <w:t>aaO</w:t>
      </w:r>
      <w:proofErr w:type="spellEnd"/>
      <w:r w:rsidRPr="00154A79">
        <w:rPr>
          <w:rFonts w:ascii="Times New Roman" w:hAnsi="Times New Roman"/>
        </w:rPr>
        <w:t>, § 20, Rn 33.</w:t>
      </w:r>
    </w:p>
  </w:footnote>
  <w:footnote w:id="5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 20, Rn 14.</w:t>
      </w:r>
    </w:p>
  </w:footnote>
  <w:footnote w:id="5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rPr>
        <w:t>S/S-</w:t>
      </w:r>
      <w:r w:rsidRPr="00154A79">
        <w:rPr>
          <w:rFonts w:ascii="Times New Roman" w:hAnsi="Times New Roman"/>
          <w:i/>
        </w:rPr>
        <w:t>Lenckner</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xml:space="preserve"> § 21, Rn</w:t>
      </w:r>
      <w:r w:rsidRPr="00154A79">
        <w:rPr>
          <w:rFonts w:ascii="Times New Roman" w:hAnsi="Times New Roman"/>
          <w:i/>
        </w:rPr>
        <w:t xml:space="preserve"> </w:t>
      </w:r>
      <w:r w:rsidRPr="00154A79">
        <w:rPr>
          <w:rFonts w:ascii="Times New Roman" w:hAnsi="Times New Roman"/>
        </w:rPr>
        <w:t xml:space="preserve">1; </w:t>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xml:space="preserve">, § 21, Rn 1; </w:t>
      </w:r>
      <w:proofErr w:type="spellStart"/>
      <w:r w:rsidRPr="00154A79">
        <w:rPr>
          <w:rFonts w:ascii="Times New Roman" w:hAnsi="Times New Roman"/>
          <w:i/>
        </w:rPr>
        <w:t>Jescheck</w:t>
      </w:r>
      <w:proofErr w:type="spellEnd"/>
      <w:r w:rsidRPr="00154A79">
        <w:rPr>
          <w:rFonts w:ascii="Times New Roman" w:hAnsi="Times New Roman"/>
          <w:i/>
        </w:rPr>
        <w:t>/</w:t>
      </w:r>
      <w:proofErr w:type="spellStart"/>
      <w:proofErr w:type="gramStart"/>
      <w:r w:rsidRPr="00154A79">
        <w:rPr>
          <w:rFonts w:ascii="Times New Roman" w:hAnsi="Times New Roman"/>
          <w:i/>
        </w:rPr>
        <w:t>Weigend,</w:t>
      </w:r>
      <w:r w:rsidRPr="00154A79">
        <w:rPr>
          <w:rFonts w:ascii="Times New Roman" w:hAnsi="Times New Roman"/>
        </w:rPr>
        <w:t>aaO</w:t>
      </w:r>
      <w:proofErr w:type="spellEnd"/>
      <w:proofErr w:type="gramEnd"/>
      <w:r w:rsidRPr="00154A79">
        <w:rPr>
          <w:rFonts w:ascii="Times New Roman" w:hAnsi="Times New Roman"/>
        </w:rPr>
        <w:t>, § 40 IV 1.</w:t>
      </w:r>
    </w:p>
  </w:footnote>
  <w:footnote w:id="5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xml:space="preserve">, § 21, Rn 1; </w:t>
      </w:r>
      <w:proofErr w:type="spellStart"/>
      <w:r w:rsidRPr="00154A79">
        <w:rPr>
          <w:rFonts w:ascii="Times New Roman" w:hAnsi="Times New Roman"/>
          <w:i/>
        </w:rPr>
        <w:t>Jescheck</w:t>
      </w:r>
      <w:proofErr w:type="spellEnd"/>
      <w:r w:rsidRPr="00154A79">
        <w:rPr>
          <w:rFonts w:ascii="Times New Roman" w:hAnsi="Times New Roman"/>
          <w:i/>
        </w:rPr>
        <w:t>/</w:t>
      </w:r>
      <w:proofErr w:type="spellStart"/>
      <w:r w:rsidRPr="00154A79">
        <w:rPr>
          <w:rFonts w:ascii="Times New Roman" w:hAnsi="Times New Roman"/>
          <w:i/>
        </w:rPr>
        <w:t>Weigend</w:t>
      </w:r>
      <w:proofErr w:type="spellEnd"/>
      <w:r w:rsidRPr="00154A79">
        <w:rPr>
          <w:rFonts w:ascii="Times New Roman" w:hAnsi="Times New Roman"/>
          <w:i/>
        </w:rPr>
        <w:t xml:space="preserve">, </w:t>
      </w:r>
      <w:proofErr w:type="spellStart"/>
      <w:r w:rsidRPr="00154A79">
        <w:rPr>
          <w:rFonts w:ascii="Times New Roman" w:hAnsi="Times New Roman"/>
        </w:rPr>
        <w:t>aaO</w:t>
      </w:r>
      <w:proofErr w:type="spellEnd"/>
      <w:r w:rsidRPr="00154A79">
        <w:rPr>
          <w:rFonts w:ascii="Times New Roman" w:hAnsi="Times New Roman"/>
        </w:rPr>
        <w:t>, § 40 IV 1.</w:t>
      </w:r>
    </w:p>
  </w:footnote>
  <w:footnote w:id="6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 20, Rn 12.</w:t>
      </w:r>
    </w:p>
  </w:footnote>
  <w:footnote w:id="6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i/>
        </w:rPr>
        <w:tab/>
        <w:t xml:space="preserve">Tröndle/Fischer, </w:t>
      </w:r>
      <w:proofErr w:type="spellStart"/>
      <w:r w:rsidRPr="00154A79">
        <w:rPr>
          <w:rFonts w:ascii="Times New Roman" w:hAnsi="Times New Roman"/>
        </w:rPr>
        <w:t>aaO</w:t>
      </w:r>
      <w:proofErr w:type="spellEnd"/>
      <w:r w:rsidRPr="00154A79">
        <w:rPr>
          <w:rFonts w:ascii="Times New Roman" w:hAnsi="Times New Roman"/>
        </w:rPr>
        <w:t>, § 20, Rn 23; S/S-</w:t>
      </w:r>
      <w:r w:rsidRPr="00154A79">
        <w:rPr>
          <w:rFonts w:ascii="Times New Roman" w:hAnsi="Times New Roman"/>
          <w:i/>
        </w:rPr>
        <w:t>Lenckner</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xml:space="preserve"> § 20</w:t>
      </w:r>
      <w:r w:rsidRPr="00154A79">
        <w:rPr>
          <w:rFonts w:ascii="Times New Roman" w:hAnsi="Times New Roman"/>
        </w:rPr>
        <w:t xml:space="preserve">, Rn 45; </w:t>
      </w:r>
      <w:r w:rsidRPr="00154A79">
        <w:rPr>
          <w:rFonts w:ascii="Times New Roman" w:hAnsi="Times New Roman"/>
          <w:i/>
        </w:rPr>
        <w:t xml:space="preserve">Lackner/Kühl, </w:t>
      </w:r>
      <w:proofErr w:type="spellStart"/>
      <w:r w:rsidRPr="00154A79">
        <w:rPr>
          <w:rFonts w:ascii="Times New Roman" w:hAnsi="Times New Roman"/>
        </w:rPr>
        <w:t>aaO</w:t>
      </w:r>
      <w:proofErr w:type="spellEnd"/>
      <w:r w:rsidRPr="00154A79">
        <w:rPr>
          <w:rFonts w:ascii="Times New Roman" w:hAnsi="Times New Roman"/>
        </w:rPr>
        <w:t>, § 20, Rn 19, alle m.w.N.</w:t>
      </w:r>
    </w:p>
  </w:footnote>
  <w:footnote w:id="6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 20, Rn 22.</w:t>
      </w:r>
    </w:p>
  </w:footnote>
  <w:footnote w:id="63">
    <w:p w:rsidR="00000000" w:rsidRPr="00154A79" w:rsidRDefault="00046A2F" w:rsidP="00154A79">
      <w:pPr>
        <w:pStyle w:val="Funotentext"/>
        <w:spacing w:before="120"/>
        <w:ind w:left="0"/>
        <w:jc w:val="both"/>
        <w:rPr>
          <w:rFonts w:ascii="Times New Roman" w:hAnsi="Times New Roman"/>
          <w:b/>
        </w:rPr>
      </w:pPr>
      <w:r w:rsidRPr="00154A79">
        <w:rPr>
          <w:rStyle w:val="Funotenzeichen"/>
          <w:rFonts w:ascii="Times New Roman" w:hAnsi="Times New Roman"/>
        </w:rPr>
        <w:footnoteRef/>
      </w:r>
      <w:r w:rsidRPr="00154A79">
        <w:rPr>
          <w:rFonts w:ascii="Times New Roman" w:hAnsi="Times New Roman"/>
        </w:rPr>
        <w:tab/>
        <w:t xml:space="preserve">So nachdrücklich </w:t>
      </w:r>
      <w:r w:rsidRPr="00154A79">
        <w:rPr>
          <w:rFonts w:ascii="Times New Roman" w:hAnsi="Times New Roman"/>
          <w:i/>
        </w:rPr>
        <w:t xml:space="preserve">Rössner, </w:t>
      </w:r>
      <w:r w:rsidRPr="00154A79">
        <w:rPr>
          <w:rFonts w:ascii="Times New Roman" w:hAnsi="Times New Roman"/>
        </w:rPr>
        <w:t>Zur Feststellung einer psychischen Störung nach §§ 20, 21 StGB im Strafverfahren: Eine Problemskizze aufgrund empirischer Befunde, in: Fe</w:t>
      </w:r>
      <w:r w:rsidRPr="00154A79">
        <w:rPr>
          <w:rFonts w:ascii="Times New Roman" w:hAnsi="Times New Roman"/>
        </w:rPr>
        <w:t xml:space="preserve">stschrift für Lenckner, hrsg. von Eser, München 1998, S. 838. Vgl. mit einem aufschlussreichen Schema über mögliche fehlerhafte Entscheidungsabläufe auch </w:t>
      </w:r>
      <w:proofErr w:type="spellStart"/>
      <w:r w:rsidRPr="00154A79">
        <w:rPr>
          <w:rFonts w:ascii="Times New Roman" w:hAnsi="Times New Roman"/>
          <w:i/>
        </w:rPr>
        <w:t>Marneros</w:t>
      </w:r>
      <w:proofErr w:type="spellEnd"/>
      <w:r w:rsidRPr="00154A79">
        <w:rPr>
          <w:rFonts w:ascii="Times New Roman" w:hAnsi="Times New Roman"/>
          <w:i/>
        </w:rPr>
        <w:t xml:space="preserve">, Ullrich, Rössner: </w:t>
      </w:r>
      <w:r w:rsidRPr="00154A79">
        <w:rPr>
          <w:rFonts w:ascii="Times New Roman" w:hAnsi="Times New Roman"/>
        </w:rPr>
        <w:t xml:space="preserve">Das Hallenser Angeklagtenprojekt, in: in: </w:t>
      </w:r>
      <w:proofErr w:type="spellStart"/>
      <w:r w:rsidRPr="00154A79">
        <w:rPr>
          <w:rFonts w:ascii="Times New Roman" w:hAnsi="Times New Roman"/>
        </w:rPr>
        <w:t>Marneros</w:t>
      </w:r>
      <w:proofErr w:type="spellEnd"/>
      <w:r w:rsidRPr="00154A79">
        <w:rPr>
          <w:rFonts w:ascii="Times New Roman" w:hAnsi="Times New Roman"/>
        </w:rPr>
        <w:t xml:space="preserve">, Rössner, Haring, </w:t>
      </w:r>
      <w:proofErr w:type="spellStart"/>
      <w:r w:rsidRPr="00154A79">
        <w:rPr>
          <w:rFonts w:ascii="Times New Roman" w:hAnsi="Times New Roman"/>
        </w:rPr>
        <w:t>Brieg</w:t>
      </w:r>
      <w:r w:rsidRPr="00154A79">
        <w:rPr>
          <w:rFonts w:ascii="Times New Roman" w:hAnsi="Times New Roman"/>
        </w:rPr>
        <w:t>er</w:t>
      </w:r>
      <w:proofErr w:type="spellEnd"/>
      <w:r w:rsidRPr="00154A79">
        <w:rPr>
          <w:rFonts w:ascii="Times New Roman" w:hAnsi="Times New Roman"/>
        </w:rPr>
        <w:t>: Psychiatrie und Justiz, Germering, München 2000, S. 3.</w:t>
      </w:r>
    </w:p>
  </w:footnote>
  <w:footnote w:id="6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 20, Rn 24; BGH StV 1986, S. 45; ggf. muß das Gericht seine Sachkunde zumindest darlegen, BGH StV 1988, S. 22.</w:t>
      </w:r>
    </w:p>
  </w:footnote>
  <w:footnote w:id="6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Grundlegend BGHSt 7, 238 (239).</w:t>
      </w:r>
    </w:p>
  </w:footnote>
  <w:footnote w:id="6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Siehe dazu die Lehrbüch</w:t>
      </w:r>
      <w:r w:rsidRPr="00154A79">
        <w:rPr>
          <w:rFonts w:ascii="Times New Roman" w:hAnsi="Times New Roman"/>
        </w:rPr>
        <w:t xml:space="preserve">er über die Forensische Psychiatrie von </w:t>
      </w:r>
      <w:r w:rsidRPr="00154A79">
        <w:rPr>
          <w:rFonts w:ascii="Times New Roman" w:hAnsi="Times New Roman"/>
          <w:i/>
        </w:rPr>
        <w:t xml:space="preserve">Rasch, </w:t>
      </w:r>
      <w:r w:rsidRPr="00154A79">
        <w:rPr>
          <w:rFonts w:ascii="Times New Roman" w:hAnsi="Times New Roman"/>
        </w:rPr>
        <w:t xml:space="preserve">2. Aufl., Stuttgart, Berlin, Köln 1999 und von </w:t>
      </w:r>
      <w:proofErr w:type="spellStart"/>
      <w:r w:rsidRPr="00154A79">
        <w:rPr>
          <w:rFonts w:ascii="Times New Roman" w:hAnsi="Times New Roman"/>
          <w:i/>
        </w:rPr>
        <w:t>Nedopil</w:t>
      </w:r>
      <w:proofErr w:type="spellEnd"/>
      <w:r w:rsidRPr="00154A79">
        <w:rPr>
          <w:rFonts w:ascii="Times New Roman" w:hAnsi="Times New Roman"/>
          <w:i/>
        </w:rPr>
        <w:t xml:space="preserve">, </w:t>
      </w:r>
      <w:proofErr w:type="spellStart"/>
      <w:r w:rsidRPr="00154A79">
        <w:rPr>
          <w:rFonts w:ascii="Times New Roman" w:hAnsi="Times New Roman"/>
        </w:rPr>
        <w:t>Suttgart</w:t>
      </w:r>
      <w:proofErr w:type="spellEnd"/>
      <w:r w:rsidRPr="00154A79">
        <w:rPr>
          <w:rFonts w:ascii="Times New Roman" w:hAnsi="Times New Roman"/>
        </w:rPr>
        <w:t xml:space="preserve"> 1996. </w:t>
      </w:r>
    </w:p>
  </w:footnote>
  <w:footnote w:id="6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Dazu siehe </w:t>
      </w:r>
      <w:proofErr w:type="spellStart"/>
      <w:r w:rsidRPr="00154A79">
        <w:rPr>
          <w:rFonts w:ascii="Times New Roman" w:hAnsi="Times New Roman"/>
          <w:i/>
        </w:rPr>
        <w:t>Kury</w:t>
      </w:r>
      <w:proofErr w:type="spellEnd"/>
      <w:r w:rsidRPr="00154A79">
        <w:rPr>
          <w:rFonts w:ascii="Times New Roman" w:hAnsi="Times New Roman"/>
          <w:i/>
        </w:rPr>
        <w:t xml:space="preserve">, </w:t>
      </w:r>
      <w:r w:rsidRPr="00154A79">
        <w:rPr>
          <w:rFonts w:ascii="Times New Roman" w:hAnsi="Times New Roman"/>
        </w:rPr>
        <w:t xml:space="preserve">Indikationen für psychowissenschaftliche Gutachten im Strafprozess, in: </w:t>
      </w:r>
      <w:proofErr w:type="spellStart"/>
      <w:r w:rsidRPr="00154A79">
        <w:rPr>
          <w:rFonts w:ascii="Times New Roman" w:hAnsi="Times New Roman"/>
        </w:rPr>
        <w:t>Marneros</w:t>
      </w:r>
      <w:proofErr w:type="spellEnd"/>
      <w:r w:rsidRPr="00154A79">
        <w:rPr>
          <w:rFonts w:ascii="Times New Roman" w:hAnsi="Times New Roman"/>
        </w:rPr>
        <w:t xml:space="preserve">, Rössner, Haring, </w:t>
      </w:r>
      <w:proofErr w:type="spellStart"/>
      <w:r w:rsidRPr="00154A79">
        <w:rPr>
          <w:rFonts w:ascii="Times New Roman" w:hAnsi="Times New Roman"/>
        </w:rPr>
        <w:t>Brieger</w:t>
      </w:r>
      <w:proofErr w:type="spellEnd"/>
      <w:r w:rsidRPr="00154A79">
        <w:rPr>
          <w:rFonts w:ascii="Times New Roman" w:hAnsi="Times New Roman"/>
        </w:rPr>
        <w:t>: Psychiatr</w:t>
      </w:r>
      <w:r w:rsidRPr="00154A79">
        <w:rPr>
          <w:rFonts w:ascii="Times New Roman" w:hAnsi="Times New Roman"/>
        </w:rPr>
        <w:t>ie und Justiz, Germering, München 2000, S. 35 ff.</w:t>
      </w:r>
    </w:p>
  </w:footnote>
  <w:footnote w:id="6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Vgl. dazu oben Fn. 5.</w:t>
      </w:r>
    </w:p>
  </w:footnote>
  <w:footnote w:id="6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So die von einem Landgericht angestellten Überlegungen in einem vom BGH jedoch aufgehobe</w:t>
      </w:r>
      <w:r w:rsidRPr="00154A79">
        <w:rPr>
          <w:rFonts w:ascii="Times New Roman" w:hAnsi="Times New Roman"/>
        </w:rPr>
        <w:softHyphen/>
        <w:t>nen Urteil, BGH, NStZ 1988, S. 268.</w:t>
      </w:r>
    </w:p>
  </w:footnote>
  <w:footnote w:id="70">
    <w:p w:rsidR="00000000" w:rsidRPr="00154A79" w:rsidRDefault="00046A2F" w:rsidP="00154A79">
      <w:pPr>
        <w:pStyle w:val="Funotentext"/>
        <w:spacing w:before="120"/>
        <w:ind w:left="0"/>
        <w:jc w:val="both"/>
        <w:rPr>
          <w:rFonts w:ascii="Times New Roman" w:hAnsi="Times New Roman"/>
          <w:lang w:val="en-GB"/>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Vgl. dazu und zu der dabei angewandten sog. </w:t>
      </w:r>
      <w:proofErr w:type="spellStart"/>
      <w:r w:rsidRPr="00154A79">
        <w:rPr>
          <w:rFonts w:ascii="Times New Roman" w:hAnsi="Times New Roman"/>
          <w:lang w:val="en-GB"/>
        </w:rPr>
        <w:t>Widmar</w:t>
      </w:r>
      <w:r w:rsidRPr="00154A79">
        <w:rPr>
          <w:rFonts w:ascii="Times New Roman" w:hAnsi="Times New Roman"/>
          <w:lang w:val="en-GB"/>
        </w:rPr>
        <w:t>k</w:t>
      </w:r>
      <w:proofErr w:type="spellEnd"/>
      <w:r w:rsidRPr="00154A79">
        <w:rPr>
          <w:rFonts w:ascii="Times New Roman" w:hAnsi="Times New Roman"/>
          <w:lang w:val="en-GB"/>
        </w:rPr>
        <w:t>-Formel, S/S-</w:t>
      </w:r>
      <w:proofErr w:type="spellStart"/>
      <w:r w:rsidRPr="00154A79">
        <w:rPr>
          <w:rFonts w:ascii="Times New Roman" w:hAnsi="Times New Roman"/>
          <w:i/>
          <w:lang w:val="en-GB"/>
        </w:rPr>
        <w:t>Lenckner</w:t>
      </w:r>
      <w:proofErr w:type="spellEnd"/>
      <w:r w:rsidRPr="00154A79">
        <w:rPr>
          <w:rFonts w:ascii="Times New Roman" w:hAnsi="Times New Roman"/>
          <w:i/>
          <w:lang w:val="en-GB"/>
        </w:rPr>
        <w:t>,</w:t>
      </w:r>
      <w:r w:rsidRPr="00154A79">
        <w:rPr>
          <w:rFonts w:ascii="Times New Roman" w:hAnsi="Times New Roman"/>
          <w:lang w:val="en-GB"/>
        </w:rPr>
        <w:t xml:space="preserve"> </w:t>
      </w:r>
      <w:proofErr w:type="spellStart"/>
      <w:r w:rsidRPr="00154A79">
        <w:rPr>
          <w:rFonts w:ascii="Times New Roman" w:hAnsi="Times New Roman"/>
          <w:lang w:val="en-GB"/>
        </w:rPr>
        <w:t>aaO</w:t>
      </w:r>
      <w:proofErr w:type="spellEnd"/>
      <w:r w:rsidRPr="00154A79">
        <w:rPr>
          <w:rFonts w:ascii="Times New Roman" w:hAnsi="Times New Roman"/>
          <w:lang w:val="en-GB"/>
        </w:rPr>
        <w:t>, § 20, Rn 16 f.</w:t>
      </w:r>
      <w:r w:rsidRPr="00154A79">
        <w:rPr>
          <w:rFonts w:ascii="Times New Roman" w:hAnsi="Times New Roman"/>
          <w:i/>
          <w:lang w:val="en-GB"/>
        </w:rPr>
        <w:t xml:space="preserve"> </w:t>
      </w:r>
    </w:p>
  </w:footnote>
  <w:footnote w:id="7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Dazu und zum folgenden siehe die zahlreichen Nachweise bei </w:t>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 20, Rn 9a ff.</w:t>
      </w:r>
    </w:p>
  </w:footnote>
  <w:footnote w:id="7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Zuletzt BGH StV 1999, S. 310 (311) m.w.N.</w:t>
      </w:r>
    </w:p>
  </w:footnote>
  <w:footnote w:id="7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Siehe nunmehr BGHSt 43, 66 (Aufgabe von BGHSt 37, 231 (234).</w:t>
      </w:r>
    </w:p>
  </w:footnote>
  <w:footnote w:id="7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 xml:space="preserve">BGH StV 1999, S. 310 (311); </w:t>
      </w:r>
      <w:r w:rsidRPr="00154A79">
        <w:rPr>
          <w:rFonts w:ascii="Times New Roman" w:hAnsi="Times New Roman"/>
          <w:i/>
        </w:rPr>
        <w:t xml:space="preserve">Tröndle/Fischer, </w:t>
      </w:r>
      <w:proofErr w:type="spellStart"/>
      <w:r w:rsidRPr="00154A79">
        <w:rPr>
          <w:rFonts w:ascii="Times New Roman" w:hAnsi="Times New Roman"/>
        </w:rPr>
        <w:t>aaO</w:t>
      </w:r>
      <w:proofErr w:type="spellEnd"/>
      <w:r w:rsidRPr="00154A79">
        <w:rPr>
          <w:rFonts w:ascii="Times New Roman" w:hAnsi="Times New Roman"/>
        </w:rPr>
        <w:t>, § 20, Rn 9b.</w:t>
      </w:r>
    </w:p>
  </w:footnote>
  <w:footnote w:id="7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 xml:space="preserve"> </w:t>
      </w:r>
      <w:r w:rsidRPr="00154A79">
        <w:rPr>
          <w:rFonts w:ascii="Times New Roman" w:hAnsi="Times New Roman"/>
          <w:b/>
        </w:rPr>
        <w:tab/>
      </w:r>
      <w:r w:rsidRPr="00154A79">
        <w:rPr>
          <w:rFonts w:ascii="Times New Roman" w:hAnsi="Times New Roman"/>
        </w:rPr>
        <w:t xml:space="preserve">Vgl. z.B. BGH StV 1993, S. </w:t>
      </w:r>
      <w:proofErr w:type="gramStart"/>
      <w:r w:rsidRPr="00154A79">
        <w:rPr>
          <w:rFonts w:ascii="Times New Roman" w:hAnsi="Times New Roman"/>
        </w:rPr>
        <w:t>186;  1994</w:t>
      </w:r>
      <w:proofErr w:type="gramEnd"/>
      <w:r w:rsidRPr="00154A79">
        <w:rPr>
          <w:rFonts w:ascii="Times New Roman" w:hAnsi="Times New Roman"/>
        </w:rPr>
        <w:t xml:space="preserve">, S. 15 und OLG Köln, StV 1995 S. 633. </w:t>
      </w:r>
    </w:p>
  </w:footnote>
  <w:footnote w:id="7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b/>
        </w:rPr>
        <w:tab/>
      </w:r>
      <w:r w:rsidRPr="00154A79">
        <w:rPr>
          <w:rFonts w:ascii="Times New Roman" w:hAnsi="Times New Roman"/>
        </w:rPr>
        <w:t>Lehrreich dazu BGH NJW 1997, S. 3101 ff.</w:t>
      </w:r>
    </w:p>
  </w:footnote>
  <w:footnote w:id="7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Gleichwohl wurde dies nicht beachtet in der Vorinstanz von OLG Düs</w:t>
      </w:r>
      <w:r w:rsidRPr="00154A79">
        <w:rPr>
          <w:rFonts w:ascii="Times New Roman" w:hAnsi="Times New Roman"/>
        </w:rPr>
        <w:t>seldorf, NStZ-RR 1996, S. 134.</w:t>
      </w:r>
    </w:p>
  </w:footnote>
  <w:footnote w:id="78">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lang w:val="en-GB"/>
        </w:rPr>
        <w:t xml:space="preserve"> </w:t>
      </w:r>
      <w:r w:rsidRPr="00154A79">
        <w:rPr>
          <w:rFonts w:ascii="Times New Roman" w:hAnsi="Times New Roman"/>
          <w:lang w:val="en-GB"/>
        </w:rPr>
        <w:tab/>
        <w:t xml:space="preserve">ICD </w:t>
      </w:r>
      <w:proofErr w:type="spellStart"/>
      <w:r w:rsidRPr="00154A79">
        <w:rPr>
          <w:rFonts w:ascii="Times New Roman" w:hAnsi="Times New Roman"/>
          <w:lang w:val="en-GB"/>
        </w:rPr>
        <w:t>bedeutet</w:t>
      </w:r>
      <w:proofErr w:type="spellEnd"/>
      <w:r w:rsidRPr="00154A79">
        <w:rPr>
          <w:rFonts w:ascii="Times New Roman" w:hAnsi="Times New Roman"/>
          <w:lang w:val="en-GB"/>
        </w:rPr>
        <w:t xml:space="preserve"> International Classification of Diseases, 10. </w:t>
      </w:r>
      <w:r w:rsidRPr="00154A79">
        <w:rPr>
          <w:rFonts w:ascii="Times New Roman" w:hAnsi="Times New Roman"/>
        </w:rPr>
        <w:t xml:space="preserve">Revision, in Deutschland hrsg. von </w:t>
      </w:r>
      <w:proofErr w:type="spellStart"/>
      <w:r w:rsidRPr="00154A79">
        <w:rPr>
          <w:rFonts w:ascii="Times New Roman" w:hAnsi="Times New Roman"/>
        </w:rPr>
        <w:t>Dilling</w:t>
      </w:r>
      <w:proofErr w:type="spellEnd"/>
      <w:r w:rsidRPr="00154A79">
        <w:rPr>
          <w:rFonts w:ascii="Times New Roman" w:hAnsi="Times New Roman"/>
        </w:rPr>
        <w:t xml:space="preserve"> u.a. Vgl. aber auch das DSM III (Diagnostisches und Statistische Manual psychischer Störungen der amerikanischen Gesells</w:t>
      </w:r>
      <w:r w:rsidRPr="00154A79">
        <w:rPr>
          <w:rFonts w:ascii="Times New Roman" w:hAnsi="Times New Roman"/>
        </w:rPr>
        <w:t>chaft für Psychiatrie) und die weiteren Hinweise bei LK-</w:t>
      </w:r>
      <w:r w:rsidRPr="00154A79">
        <w:rPr>
          <w:rFonts w:ascii="Times New Roman" w:hAnsi="Times New Roman"/>
          <w:i/>
        </w:rPr>
        <w:t xml:space="preserve">Jähnke, </w:t>
      </w:r>
      <w:r w:rsidRPr="00154A79">
        <w:rPr>
          <w:rFonts w:ascii="Times New Roman" w:hAnsi="Times New Roman"/>
        </w:rPr>
        <w:t>§ 20, Rn 14.</w:t>
      </w:r>
    </w:p>
  </w:footnote>
  <w:footnote w:id="79">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LK-</w:t>
      </w:r>
      <w:r w:rsidRPr="00154A79">
        <w:rPr>
          <w:rFonts w:ascii="Times New Roman" w:hAnsi="Times New Roman"/>
          <w:i/>
        </w:rPr>
        <w:t xml:space="preserve">Jähnke, </w:t>
      </w:r>
      <w:r w:rsidRPr="00154A79">
        <w:rPr>
          <w:rFonts w:ascii="Times New Roman" w:hAnsi="Times New Roman"/>
        </w:rPr>
        <w:t xml:space="preserve">§ 20, Rn 14; </w:t>
      </w:r>
      <w:r w:rsidRPr="00154A79">
        <w:rPr>
          <w:rFonts w:ascii="Times New Roman" w:hAnsi="Times New Roman"/>
          <w:i/>
        </w:rPr>
        <w:t xml:space="preserve">Schöch, </w:t>
      </w:r>
      <w:proofErr w:type="spellStart"/>
      <w:r w:rsidRPr="00154A79">
        <w:rPr>
          <w:rFonts w:ascii="Times New Roman" w:hAnsi="Times New Roman"/>
        </w:rPr>
        <w:t>aaO</w:t>
      </w:r>
      <w:proofErr w:type="spellEnd"/>
      <w:r w:rsidRPr="00154A79">
        <w:rPr>
          <w:rFonts w:ascii="Times New Roman" w:hAnsi="Times New Roman"/>
        </w:rPr>
        <w:t>, Rn 11.</w:t>
      </w:r>
    </w:p>
  </w:footnote>
  <w:footnote w:id="80">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BGHSt 37, 397 (401); BGH StV 1992, S. 316;</w:t>
      </w:r>
      <w:r w:rsidRPr="00154A79">
        <w:rPr>
          <w:rFonts w:ascii="Times New Roman" w:hAnsi="Times New Roman"/>
          <w:b/>
        </w:rPr>
        <w:t xml:space="preserve"> </w:t>
      </w:r>
      <w:r w:rsidRPr="00154A79">
        <w:rPr>
          <w:rFonts w:ascii="Times New Roman" w:hAnsi="Times New Roman"/>
          <w:i/>
        </w:rPr>
        <w:t xml:space="preserve">Schöch, </w:t>
      </w:r>
      <w:proofErr w:type="spellStart"/>
      <w:r w:rsidRPr="00154A79">
        <w:rPr>
          <w:rFonts w:ascii="Times New Roman" w:hAnsi="Times New Roman"/>
        </w:rPr>
        <w:t>aaO</w:t>
      </w:r>
      <w:proofErr w:type="spellEnd"/>
      <w:r w:rsidRPr="00154A79">
        <w:rPr>
          <w:rFonts w:ascii="Times New Roman" w:hAnsi="Times New Roman"/>
        </w:rPr>
        <w:t>, Rn 11.</w:t>
      </w:r>
    </w:p>
  </w:footnote>
  <w:footnote w:id="81">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Vgl. die Übersichten bei LK-</w:t>
      </w:r>
      <w:r w:rsidRPr="00154A79">
        <w:rPr>
          <w:rFonts w:ascii="Times New Roman" w:hAnsi="Times New Roman"/>
          <w:i/>
        </w:rPr>
        <w:t>Jähnke</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xml:space="preserve">, § 20, Rn 57; </w:t>
      </w:r>
      <w:proofErr w:type="spellStart"/>
      <w:r w:rsidRPr="00154A79">
        <w:rPr>
          <w:rFonts w:ascii="Times New Roman" w:hAnsi="Times New Roman"/>
          <w:i/>
        </w:rPr>
        <w:t>Nedopil</w:t>
      </w:r>
      <w:proofErr w:type="spellEnd"/>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S. 164 ff.</w:t>
      </w:r>
    </w:p>
  </w:footnote>
  <w:footnote w:id="82">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So BGH NStZ 1988, S. 268.</w:t>
      </w:r>
    </w:p>
  </w:footnote>
  <w:footnote w:id="83">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So z.B. BGH NStZ 1990, S. 231.</w:t>
      </w:r>
    </w:p>
  </w:footnote>
  <w:footnote w:id="84">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lang w:val="it-IT"/>
        </w:rPr>
        <w:t xml:space="preserve"> </w:t>
      </w:r>
      <w:r w:rsidRPr="00154A79">
        <w:rPr>
          <w:rFonts w:ascii="Times New Roman" w:hAnsi="Times New Roman"/>
          <w:lang w:val="it-IT"/>
        </w:rPr>
        <w:tab/>
      </w:r>
      <w:r w:rsidRPr="00154A79">
        <w:rPr>
          <w:rFonts w:ascii="Times New Roman" w:hAnsi="Times New Roman"/>
          <w:i/>
          <w:lang w:val="it-IT"/>
        </w:rPr>
        <w:t xml:space="preserve">Saß, </w:t>
      </w:r>
      <w:proofErr w:type="spellStart"/>
      <w:r w:rsidRPr="00154A79">
        <w:rPr>
          <w:rFonts w:ascii="Times New Roman" w:hAnsi="Times New Roman"/>
          <w:lang w:val="it-IT"/>
        </w:rPr>
        <w:t>Affektdelikte</w:t>
      </w:r>
      <w:proofErr w:type="spellEnd"/>
      <w:r w:rsidRPr="00154A79">
        <w:rPr>
          <w:rFonts w:ascii="Times New Roman" w:hAnsi="Times New Roman"/>
          <w:lang w:val="it-IT"/>
        </w:rPr>
        <w:t xml:space="preserve">, </w:t>
      </w:r>
      <w:proofErr w:type="spellStart"/>
      <w:r w:rsidRPr="00154A79">
        <w:rPr>
          <w:rFonts w:ascii="Times New Roman" w:hAnsi="Times New Roman"/>
          <w:lang w:val="it-IT"/>
        </w:rPr>
        <w:t>Nervenarzt</w:t>
      </w:r>
      <w:proofErr w:type="spellEnd"/>
      <w:r w:rsidRPr="00154A79">
        <w:rPr>
          <w:rFonts w:ascii="Times New Roman" w:hAnsi="Times New Roman"/>
          <w:lang w:val="it-IT"/>
        </w:rPr>
        <w:t xml:space="preserve"> 54 (1983), S. 557 ff. </w:t>
      </w:r>
      <w:r w:rsidRPr="00154A79">
        <w:rPr>
          <w:rFonts w:ascii="Times New Roman" w:hAnsi="Times New Roman"/>
        </w:rPr>
        <w:t>(vollständig zitiert auch bei LK-</w:t>
      </w:r>
      <w:r w:rsidRPr="00154A79">
        <w:rPr>
          <w:rFonts w:ascii="Times New Roman" w:hAnsi="Times New Roman"/>
          <w:i/>
        </w:rPr>
        <w:t>Jähnke</w:t>
      </w:r>
      <w:r w:rsidRPr="00154A79">
        <w:rPr>
          <w:rFonts w:ascii="Times New Roman" w:hAnsi="Times New Roman"/>
        </w:rPr>
        <w:t xml:space="preserve">, </w:t>
      </w:r>
      <w:proofErr w:type="spellStart"/>
      <w:r w:rsidRPr="00154A79">
        <w:rPr>
          <w:rFonts w:ascii="Times New Roman" w:hAnsi="Times New Roman"/>
        </w:rPr>
        <w:t>aaO</w:t>
      </w:r>
      <w:proofErr w:type="spellEnd"/>
      <w:r w:rsidRPr="00154A79">
        <w:rPr>
          <w:rFonts w:ascii="Times New Roman" w:hAnsi="Times New Roman"/>
        </w:rPr>
        <w:t xml:space="preserve">, § 20, Rn 57. </w:t>
      </w:r>
    </w:p>
  </w:footnote>
  <w:footnote w:id="85">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BGHSt 37, 397 (401),</w:t>
      </w:r>
    </w:p>
  </w:footnote>
  <w:footnote w:id="86">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 xml:space="preserve"> </w:t>
      </w:r>
      <w:r w:rsidRPr="00154A79">
        <w:rPr>
          <w:rFonts w:ascii="Times New Roman" w:hAnsi="Times New Roman"/>
        </w:rPr>
        <w:tab/>
        <w:t>Einer Pressemitteilung der FU Berl</w:t>
      </w:r>
      <w:r w:rsidRPr="00154A79">
        <w:rPr>
          <w:rFonts w:ascii="Times New Roman" w:hAnsi="Times New Roman"/>
        </w:rPr>
        <w:t>in, Abteilung Forensische Psychiatrie vom 22.10.99 zufolge ist der dort tätige Psychiater und Suchtexperte Prof. Dr. Platz der Auffassung, dass die Internetsucht in die Reihe anderer nicht stoffgebundener Abhängigkeiten wie die Eß- und Spielsucht gehöre. Z</w:t>
      </w:r>
      <w:r w:rsidRPr="00154A79">
        <w:rPr>
          <w:rFonts w:ascii="Times New Roman" w:hAnsi="Times New Roman"/>
        </w:rPr>
        <w:t xml:space="preserve">ur Spielsucht siehe BGH JR 1989, 379 (380) m.Anm. </w:t>
      </w:r>
      <w:r w:rsidRPr="00154A79">
        <w:rPr>
          <w:rFonts w:ascii="Times New Roman" w:hAnsi="Times New Roman"/>
          <w:i/>
        </w:rPr>
        <w:t xml:space="preserve">Kröber </w:t>
      </w:r>
      <w:r w:rsidRPr="00154A79">
        <w:rPr>
          <w:rFonts w:ascii="Times New Roman" w:hAnsi="Times New Roman"/>
        </w:rPr>
        <w:t>und speziell zur Aufklärungspflicht des Gerichtes in diesen Fällen BGH StV 2000, 7 (8).</w:t>
      </w:r>
    </w:p>
  </w:footnote>
  <w:footnote w:id="87">
    <w:p w:rsidR="00000000" w:rsidRPr="00154A79" w:rsidRDefault="00046A2F" w:rsidP="00154A79">
      <w:pPr>
        <w:pStyle w:val="Funotentext"/>
        <w:spacing w:before="120"/>
        <w:ind w:left="0"/>
        <w:jc w:val="both"/>
        <w:rPr>
          <w:rFonts w:ascii="Times New Roman" w:hAnsi="Times New Roman"/>
        </w:rPr>
      </w:pPr>
      <w:r w:rsidRPr="00154A79">
        <w:rPr>
          <w:rStyle w:val="Funotenzeichen"/>
          <w:rFonts w:ascii="Times New Roman" w:hAnsi="Times New Roman"/>
        </w:rPr>
        <w:footnoteRef/>
      </w:r>
      <w:r w:rsidRPr="00154A79">
        <w:rPr>
          <w:rFonts w:ascii="Times New Roman" w:hAnsi="Times New Roman"/>
        </w:rPr>
        <w:tab/>
        <w:t>So werden jedenfalls die 8.00 Nachrichten des Schweizer Radios vom 24.10.97 zitiert in www.direktverlag.de/di</w:t>
      </w:r>
      <w:r w:rsidRPr="00154A79">
        <w:rPr>
          <w:rFonts w:ascii="Times New Roman" w:hAnsi="Times New Roman"/>
        </w:rPr>
        <w:t>plom/intsucht.htm.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2209"/>
    <w:multiLevelType w:val="hybridMultilevel"/>
    <w:tmpl w:val="735ACDDC"/>
    <w:lvl w:ilvl="0" w:tplc="2D86BD2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296F69"/>
    <w:multiLevelType w:val="hybridMultilevel"/>
    <w:tmpl w:val="FDFE7D00"/>
    <w:lvl w:ilvl="0" w:tplc="CA86EA0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2F20C1"/>
    <w:multiLevelType w:val="hybridMultilevel"/>
    <w:tmpl w:val="73088EAC"/>
    <w:lvl w:ilvl="0" w:tplc="3C04C9C0">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intFractionalCharacterWidth/>
  <w:hideSpellingErrors/>
  <w:hideGrammatical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1"/>
    <w:rsid w:val="00046A2F"/>
    <w:rsid w:val="000C0B71"/>
    <w:rsid w:val="00154A79"/>
    <w:rsid w:val="0039590E"/>
    <w:rsid w:val="007E5A67"/>
    <w:rsid w:val="00F41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7679"/>
  <w15:chartTrackingRefBased/>
  <w15:docId w15:val="{1212EF75-A2B8-4EF4-8B4B-8C6F8A39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outlineLvl w:val="2"/>
    </w:pPr>
    <w:rPr>
      <w:rFonts w:ascii="Times New Roman" w:hAnsi="Times New Roma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zeile">
    <w:name w:val="footer"/>
    <w:basedOn w:val="Standard"/>
    <w:semiHidden/>
    <w:pPr>
      <w:tabs>
        <w:tab w:val="center" w:pos="4536"/>
        <w:tab w:val="right" w:pos="9072"/>
      </w:tabs>
    </w:pPr>
  </w:style>
  <w:style w:type="paragraph" w:styleId="Funotentext">
    <w:name w:val="footnote text"/>
    <w:basedOn w:val="Standard"/>
    <w:semiHidden/>
    <w:pPr>
      <w:ind w:left="340" w:hanging="340"/>
    </w:pPr>
    <w:rPr>
      <w:sz w:val="20"/>
    </w:rPr>
  </w:style>
  <w:style w:type="paragraph" w:customStyle="1" w:styleId="Literatur">
    <w:name w:val="Literatur"/>
    <w:basedOn w:val="Standard"/>
    <w:pPr>
      <w:tabs>
        <w:tab w:val="left" w:pos="3403"/>
      </w:tabs>
      <w:spacing w:before="240"/>
      <w:ind w:left="851" w:hanging="851"/>
    </w:pPr>
  </w:style>
  <w:style w:type="paragraph" w:styleId="Listenabsatz">
    <w:name w:val="List Paragraph"/>
    <w:basedOn w:val="Standard"/>
    <w:uiPriority w:val="34"/>
    <w:qFormat/>
    <w:rsid w:val="0015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2088-682B-4BE0-8D87-BBD623B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4870</Words>
  <Characters>29711</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Dr. Claudia Keiser							       August 1999</vt:lpstr>
    </vt:vector>
  </TitlesOfParts>
  <Company>Walter de Gruyter</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Claudia Keiser							       August 1999</dc:title>
  <dc:subject/>
  <dc:creator>Lehrgebiet Strafrecht B</dc:creator>
  <cp:keywords/>
  <cp:lastModifiedBy>Keiser</cp:lastModifiedBy>
  <cp:revision>3</cp:revision>
  <cp:lastPrinted>1601-01-01T00:00:00Z</cp:lastPrinted>
  <dcterms:created xsi:type="dcterms:W3CDTF">2017-08-31T17:57:00Z</dcterms:created>
  <dcterms:modified xsi:type="dcterms:W3CDTF">2017-08-31T18:40:00Z</dcterms:modified>
</cp:coreProperties>
</file>